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rPr>
      </w:pPr>
      <w:bookmarkStart w:id="0" w:name="_GoBack"/>
      <w:bookmarkEnd w:id="0"/>
    </w:p>
    <w:p>
      <w:pPr>
        <w:rPr>
          <w:rFonts w:hint="eastAsia" w:ascii="仿宋_GB2312" w:eastAsia="仿宋_GB2312"/>
        </w:rPr>
      </w:pPr>
    </w:p>
    <w:p>
      <w:pPr>
        <w:rPr>
          <w:rFonts w:hint="eastAsia" w:ascii="仿宋_GB2312" w:eastAsia="仿宋_GB2312"/>
        </w:rPr>
      </w:pPr>
    </w:p>
    <w:p>
      <w:pPr>
        <w:spacing w:line="420" w:lineRule="exact"/>
        <w:jc w:val="center"/>
        <w:rPr>
          <w:rFonts w:hint="eastAsia" w:ascii="仿宋_GB2312" w:hAnsi="宋体" w:eastAsia="仿宋_GB2312"/>
          <w:b/>
          <w:sz w:val="32"/>
          <w:szCs w:val="32"/>
        </w:rPr>
      </w:pPr>
      <w:r>
        <w:rPr>
          <w:rFonts w:hint="eastAsia" w:ascii="仿宋_GB2312" w:hAnsi="宋体" w:eastAsia="仿宋_GB2312"/>
          <w:b/>
          <w:sz w:val="32"/>
          <w:szCs w:val="32"/>
        </w:rPr>
        <w:t>江财现经管院财务字〔2014〕7号</w:t>
      </w:r>
    </w:p>
    <w:p>
      <w:pPr>
        <w:jc w:val="center"/>
        <w:rPr>
          <w:rFonts w:hint="eastAsia" w:ascii="宋体" w:hAnsi="宋体"/>
          <w:b/>
          <w:bCs/>
          <w:sz w:val="44"/>
          <w:szCs w:val="44"/>
        </w:rPr>
      </w:pPr>
    </w:p>
    <w:p>
      <w:pPr>
        <w:widowControl/>
        <w:adjustRightInd w:val="0"/>
        <w:spacing w:line="500" w:lineRule="exact"/>
        <w:ind w:right="26"/>
        <w:jc w:val="center"/>
        <w:rPr>
          <w:rFonts w:hint="eastAsia" w:ascii="宋体" w:hAnsi="宋体" w:cs="宋体"/>
          <w:b/>
          <w:bCs/>
          <w:kern w:val="0"/>
          <w:sz w:val="44"/>
          <w:szCs w:val="44"/>
          <w:lang w:val="zh-CN"/>
        </w:rPr>
      </w:pPr>
      <w:r>
        <w:rPr>
          <w:rFonts w:hint="eastAsia" w:ascii="宋体" w:hAnsi="宋体"/>
          <w:b/>
          <w:bCs/>
          <w:sz w:val="44"/>
          <w:szCs w:val="44"/>
        </w:rPr>
        <w:t>关于印发《</w:t>
      </w:r>
      <w:r>
        <w:rPr>
          <w:rFonts w:ascii="宋体" w:hAnsi="宋体" w:cs="宋体"/>
          <w:b/>
          <w:bCs/>
          <w:kern w:val="0"/>
          <w:sz w:val="44"/>
          <w:szCs w:val="44"/>
          <w:lang w:val="zh-CN"/>
        </w:rPr>
        <w:t>江西财经大学</w:t>
      </w:r>
      <w:r>
        <w:rPr>
          <w:rFonts w:hint="eastAsia" w:ascii="宋体" w:hAnsi="宋体" w:cs="宋体"/>
          <w:b/>
          <w:bCs/>
          <w:kern w:val="0"/>
          <w:sz w:val="44"/>
          <w:szCs w:val="44"/>
          <w:lang w:val="zh-CN"/>
        </w:rPr>
        <w:t>现代经济管理学院</w:t>
      </w:r>
      <w:r>
        <w:rPr>
          <w:rFonts w:ascii="宋体" w:hAnsi="宋体" w:cs="宋体"/>
          <w:b/>
          <w:bCs/>
          <w:kern w:val="0"/>
          <w:sz w:val="44"/>
          <w:szCs w:val="44"/>
          <w:lang w:val="zh-CN"/>
        </w:rPr>
        <w:t>财务管理办法</w:t>
      </w:r>
      <w:r>
        <w:rPr>
          <w:rFonts w:hint="eastAsia" w:ascii="宋体" w:hAnsi="宋体"/>
          <w:b/>
          <w:bCs/>
          <w:sz w:val="44"/>
          <w:szCs w:val="44"/>
        </w:rPr>
        <w:t>》的通知</w:t>
      </w:r>
    </w:p>
    <w:p>
      <w:pPr>
        <w:spacing w:line="400" w:lineRule="atLeast"/>
        <w:rPr>
          <w:rFonts w:hint="eastAsia" w:ascii="仿宋_GB2312" w:eastAsia="仿宋_GB2312"/>
          <w:bCs/>
          <w:sz w:val="32"/>
          <w:szCs w:val="32"/>
        </w:rPr>
      </w:pPr>
    </w:p>
    <w:p>
      <w:pPr>
        <w:spacing w:line="400" w:lineRule="atLeast"/>
        <w:rPr>
          <w:rFonts w:hint="eastAsia" w:ascii="仿宋_GB2312" w:eastAsia="仿宋_GB2312"/>
          <w:bCs/>
          <w:sz w:val="32"/>
          <w:szCs w:val="32"/>
        </w:rPr>
      </w:pPr>
      <w:r>
        <w:rPr>
          <w:rFonts w:hint="eastAsia" w:ascii="仿宋_GB2312" w:eastAsia="仿宋_GB2312"/>
          <w:bCs/>
          <w:sz w:val="32"/>
          <w:szCs w:val="32"/>
        </w:rPr>
        <w:t>院属各单位：</w:t>
      </w:r>
    </w:p>
    <w:p>
      <w:pPr>
        <w:widowControl/>
        <w:adjustRightInd w:val="0"/>
        <w:spacing w:line="500" w:lineRule="exact"/>
        <w:ind w:right="26" w:firstLine="640" w:firstLineChars="200"/>
        <w:rPr>
          <w:rFonts w:hint="eastAsia" w:ascii="仿宋_GB2312" w:hAnsi="宋体" w:eastAsia="仿宋_GB2312" w:cs="宋体"/>
          <w:bCs/>
          <w:kern w:val="0"/>
          <w:sz w:val="32"/>
          <w:szCs w:val="32"/>
          <w:lang w:val="zh-CN"/>
        </w:rPr>
      </w:pPr>
      <w:r>
        <w:rPr>
          <w:rFonts w:hint="eastAsia" w:ascii="仿宋_GB2312" w:eastAsia="仿宋_GB2312"/>
          <w:bCs/>
          <w:sz w:val="32"/>
          <w:szCs w:val="32"/>
        </w:rPr>
        <w:t>《</w:t>
      </w:r>
      <w:r>
        <w:rPr>
          <w:rFonts w:hint="eastAsia" w:ascii="仿宋_GB2312" w:hAnsi="宋体" w:eastAsia="仿宋_GB2312" w:cs="宋体"/>
          <w:bCs/>
          <w:kern w:val="0"/>
          <w:sz w:val="32"/>
          <w:szCs w:val="32"/>
          <w:lang w:val="zh-CN"/>
        </w:rPr>
        <w:t>江西财经大学现代经济管理学院财务管理办法</w:t>
      </w:r>
      <w:r>
        <w:rPr>
          <w:rFonts w:hint="eastAsia" w:ascii="仿宋_GB2312" w:eastAsia="仿宋_GB2312"/>
          <w:bCs/>
          <w:sz w:val="32"/>
          <w:szCs w:val="32"/>
        </w:rPr>
        <w:t>》已经董事会审议通过，现印发给你们，请遵照执行。</w:t>
      </w:r>
    </w:p>
    <w:p>
      <w:pPr>
        <w:spacing w:line="400" w:lineRule="atLeast"/>
        <w:ind w:firstLine="640" w:firstLineChars="200"/>
        <w:rPr>
          <w:rFonts w:hint="eastAsia" w:ascii="仿宋_GB2312" w:eastAsia="仿宋_GB2312"/>
          <w:sz w:val="32"/>
          <w:szCs w:val="32"/>
        </w:rPr>
      </w:pPr>
      <w:r>
        <w:rPr>
          <w:rFonts w:hint="eastAsia" w:ascii="仿宋_GB2312" w:eastAsia="仿宋_GB2312"/>
          <w:sz w:val="32"/>
          <w:szCs w:val="32"/>
        </w:rPr>
        <w:t>特此通知</w:t>
      </w:r>
    </w:p>
    <w:p>
      <w:pPr>
        <w:pStyle w:val="4"/>
        <w:tabs>
          <w:tab w:val="left" w:pos="8100"/>
        </w:tabs>
        <w:ind w:firstLine="0"/>
        <w:rPr>
          <w:rFonts w:hint="eastAsia" w:ascii="仿宋_GB2312" w:eastAsia="仿宋_GB2312"/>
          <w:sz w:val="32"/>
          <w:szCs w:val="32"/>
        </w:rPr>
      </w:pPr>
    </w:p>
    <w:p>
      <w:pPr>
        <w:pStyle w:val="4"/>
        <w:tabs>
          <w:tab w:val="left" w:pos="7200"/>
          <w:tab w:val="left" w:pos="8100"/>
        </w:tabs>
        <w:ind w:firstLine="5120" w:firstLineChars="1600"/>
        <w:rPr>
          <w:rFonts w:hint="eastAsia" w:ascii="仿宋_GB2312" w:eastAsia="仿宋_GB2312"/>
          <w:sz w:val="32"/>
          <w:szCs w:val="32"/>
        </w:rPr>
      </w:pPr>
    </w:p>
    <w:p>
      <w:pPr>
        <w:spacing w:line="600" w:lineRule="exact"/>
        <w:ind w:right="320"/>
        <w:jc w:val="right"/>
        <w:rPr>
          <w:rFonts w:hint="eastAsia" w:ascii="仿宋_GB2312" w:hAnsi="宋体" w:eastAsia="仿宋_GB2312"/>
          <w:sz w:val="32"/>
          <w:szCs w:val="32"/>
        </w:rPr>
      </w:pPr>
      <w:r>
        <w:rPr>
          <w:rFonts w:hint="eastAsia" w:ascii="仿宋_GB2312" w:hAnsi="宋体" w:eastAsia="仿宋_GB2312"/>
          <w:sz w:val="32"/>
          <w:szCs w:val="32"/>
        </w:rPr>
        <w:t>江西财经大学现代经济管理学院</w:t>
      </w:r>
    </w:p>
    <w:p>
      <w:pPr>
        <w:spacing w:line="600" w:lineRule="exact"/>
        <w:ind w:right="960"/>
        <w:jc w:val="right"/>
        <w:rPr>
          <w:rFonts w:hint="eastAsia" w:ascii="仿宋_GB2312" w:hAnsi="宋体" w:eastAsia="仿宋_GB2312"/>
          <w:sz w:val="32"/>
          <w:szCs w:val="32"/>
        </w:rPr>
      </w:pPr>
      <w:r>
        <w:rPr>
          <w:rFonts w:hint="eastAsia" w:ascii="仿宋_GB2312" w:hAnsi="宋体" w:eastAsia="仿宋_GB2312"/>
          <w:sz w:val="32"/>
          <w:szCs w:val="32"/>
        </w:rPr>
        <w:t>2014年10月20日</w:t>
      </w:r>
    </w:p>
    <w:p>
      <w:pPr>
        <w:pStyle w:val="4"/>
        <w:tabs>
          <w:tab w:val="left" w:pos="7200"/>
          <w:tab w:val="left" w:pos="8100"/>
        </w:tabs>
        <w:ind w:firstLine="5120" w:firstLineChars="1600"/>
        <w:rPr>
          <w:rFonts w:hint="eastAsia" w:ascii="仿宋_GB2312" w:eastAsia="仿宋_GB2312"/>
          <w:sz w:val="32"/>
          <w:szCs w:val="32"/>
        </w:rPr>
      </w:pPr>
    </w:p>
    <w:p>
      <w:pPr>
        <w:pStyle w:val="4"/>
        <w:tabs>
          <w:tab w:val="left" w:pos="7200"/>
          <w:tab w:val="left" w:pos="8100"/>
        </w:tabs>
        <w:ind w:firstLine="5120" w:firstLineChars="1600"/>
        <w:rPr>
          <w:rFonts w:hint="eastAsia" w:ascii="仿宋_GB2312" w:eastAsia="仿宋_GB2312"/>
          <w:sz w:val="32"/>
          <w:szCs w:val="32"/>
        </w:rPr>
      </w:pPr>
    </w:p>
    <w:p>
      <w:pPr>
        <w:pStyle w:val="4"/>
        <w:tabs>
          <w:tab w:val="left" w:pos="7200"/>
          <w:tab w:val="left" w:pos="8100"/>
        </w:tabs>
        <w:ind w:firstLine="5120" w:firstLineChars="1600"/>
        <w:rPr>
          <w:rFonts w:hint="eastAsia" w:ascii="仿宋_GB2312" w:eastAsia="仿宋_GB2312"/>
          <w:sz w:val="32"/>
          <w:szCs w:val="32"/>
        </w:rPr>
      </w:pPr>
    </w:p>
    <w:p>
      <w:pPr>
        <w:pStyle w:val="4"/>
        <w:tabs>
          <w:tab w:val="left" w:pos="7200"/>
          <w:tab w:val="left" w:pos="8100"/>
        </w:tabs>
        <w:ind w:firstLine="5120" w:firstLineChars="1600"/>
        <w:rPr>
          <w:rFonts w:hint="eastAsia" w:ascii="仿宋_GB2312" w:eastAsia="仿宋_GB2312"/>
          <w:sz w:val="32"/>
          <w:szCs w:val="32"/>
        </w:rPr>
      </w:pPr>
    </w:p>
    <w:p>
      <w:pPr>
        <w:pStyle w:val="4"/>
        <w:tabs>
          <w:tab w:val="left" w:pos="7200"/>
          <w:tab w:val="left" w:pos="8100"/>
        </w:tabs>
        <w:ind w:firstLine="5120" w:firstLineChars="1600"/>
        <w:rPr>
          <w:rFonts w:hint="eastAsia" w:ascii="仿宋_GB2312" w:eastAsia="仿宋_GB2312"/>
          <w:sz w:val="32"/>
          <w:szCs w:val="32"/>
        </w:rPr>
      </w:pPr>
    </w:p>
    <w:p>
      <w:pPr>
        <w:pStyle w:val="4"/>
        <w:tabs>
          <w:tab w:val="left" w:pos="7200"/>
          <w:tab w:val="left" w:pos="8100"/>
        </w:tabs>
        <w:ind w:firstLine="5120" w:firstLineChars="1600"/>
        <w:rPr>
          <w:rFonts w:hint="eastAsia" w:ascii="仿宋_GB2312" w:eastAsia="仿宋_GB2312"/>
          <w:sz w:val="32"/>
          <w:szCs w:val="32"/>
        </w:rPr>
      </w:pPr>
    </w:p>
    <w:p>
      <w:pPr>
        <w:pStyle w:val="4"/>
        <w:tabs>
          <w:tab w:val="left" w:pos="7200"/>
          <w:tab w:val="left" w:pos="8100"/>
        </w:tabs>
        <w:ind w:firstLine="5120" w:firstLineChars="1600"/>
        <w:rPr>
          <w:rFonts w:hint="eastAsia" w:ascii="仿宋_GB2312" w:eastAsia="仿宋_GB2312"/>
          <w:sz w:val="32"/>
          <w:szCs w:val="32"/>
        </w:rPr>
      </w:pPr>
    </w:p>
    <w:p>
      <w:pPr>
        <w:widowControl/>
        <w:adjustRightInd w:val="0"/>
        <w:spacing w:line="360" w:lineRule="exact"/>
        <w:ind w:right="544"/>
        <w:rPr>
          <w:rFonts w:hint="eastAsia" w:ascii="宋体" w:hAnsi="宋体" w:cs="宋体"/>
          <w:b/>
          <w:bCs/>
          <w:kern w:val="0"/>
          <w:sz w:val="44"/>
          <w:szCs w:val="44"/>
        </w:rPr>
      </w:pPr>
    </w:p>
    <w:p>
      <w:pPr>
        <w:widowControl/>
        <w:adjustRightInd w:val="0"/>
        <w:spacing w:line="360" w:lineRule="exact"/>
        <w:ind w:right="544"/>
        <w:rPr>
          <w:rFonts w:hint="eastAsia" w:ascii="宋体" w:hAnsi="宋体" w:cs="宋体"/>
          <w:b/>
          <w:bCs/>
          <w:kern w:val="0"/>
          <w:sz w:val="44"/>
          <w:szCs w:val="44"/>
          <w:lang w:val="zh-CN"/>
        </w:rPr>
      </w:pPr>
    </w:p>
    <w:p>
      <w:pPr>
        <w:widowControl/>
        <w:adjustRightInd w:val="0"/>
        <w:spacing w:line="500" w:lineRule="exact"/>
        <w:ind w:right="544"/>
        <w:jc w:val="center"/>
        <w:rPr>
          <w:rFonts w:hint="eastAsia" w:ascii="宋体" w:hAnsi="宋体" w:cs="宋体"/>
          <w:b/>
          <w:bCs/>
          <w:kern w:val="0"/>
          <w:sz w:val="44"/>
          <w:szCs w:val="44"/>
          <w:lang w:val="zh-CN"/>
        </w:rPr>
      </w:pPr>
      <w:r>
        <w:rPr>
          <w:rFonts w:ascii="宋体" w:hAnsi="宋体" w:cs="宋体"/>
          <w:b/>
          <w:bCs/>
          <w:kern w:val="0"/>
          <w:sz w:val="44"/>
          <w:szCs w:val="44"/>
          <w:lang w:val="zh-CN"/>
        </w:rPr>
        <w:t>江西财经大学</w:t>
      </w:r>
      <w:r>
        <w:rPr>
          <w:rFonts w:hint="eastAsia" w:ascii="宋体" w:hAnsi="宋体" w:cs="宋体"/>
          <w:b/>
          <w:bCs/>
          <w:kern w:val="0"/>
          <w:sz w:val="44"/>
          <w:szCs w:val="44"/>
          <w:lang w:val="zh-CN"/>
        </w:rPr>
        <w:t>现代经济管理学院</w:t>
      </w:r>
    </w:p>
    <w:p>
      <w:pPr>
        <w:widowControl/>
        <w:adjustRightInd w:val="0"/>
        <w:spacing w:line="500" w:lineRule="exact"/>
        <w:ind w:right="544"/>
        <w:jc w:val="center"/>
        <w:rPr>
          <w:rFonts w:ascii="宋体" w:hAnsi="宋体" w:cs="宋体"/>
          <w:b/>
          <w:kern w:val="0"/>
          <w:sz w:val="44"/>
          <w:szCs w:val="44"/>
        </w:rPr>
      </w:pPr>
      <w:r>
        <w:rPr>
          <w:rFonts w:ascii="宋体" w:hAnsi="宋体" w:cs="宋体"/>
          <w:b/>
          <w:bCs/>
          <w:kern w:val="0"/>
          <w:sz w:val="44"/>
          <w:szCs w:val="44"/>
          <w:lang w:val="zh-CN"/>
        </w:rPr>
        <w:t>财务管理办法</w:t>
      </w:r>
    </w:p>
    <w:p>
      <w:pPr>
        <w:widowControl/>
        <w:adjustRightInd w:val="0"/>
        <w:spacing w:line="500" w:lineRule="exact"/>
        <w:ind w:right="544"/>
        <w:jc w:val="center"/>
        <w:rPr>
          <w:rFonts w:hint="eastAsia" w:ascii="仿宋_GB2312" w:hAnsi="宋体" w:eastAsia="仿宋_GB2312" w:cs="宋体"/>
          <w:b/>
          <w:kern w:val="0"/>
          <w:sz w:val="32"/>
          <w:szCs w:val="32"/>
          <w:lang w:val="zh-CN"/>
        </w:rPr>
      </w:pPr>
      <w:r>
        <w:rPr>
          <w:rFonts w:hint="eastAsia" w:ascii="仿宋_GB2312" w:hAnsi="宋体" w:eastAsia="仿宋_GB2312" w:cs="宋体"/>
          <w:b/>
          <w:kern w:val="0"/>
          <w:sz w:val="32"/>
          <w:szCs w:val="32"/>
          <w:lang w:val="zh-CN"/>
        </w:rPr>
        <w:t>(2014年9月修订稿)</w:t>
      </w:r>
    </w:p>
    <w:p>
      <w:pPr>
        <w:widowControl/>
        <w:adjustRightInd w:val="0"/>
        <w:spacing w:line="460" w:lineRule="exact"/>
        <w:ind w:right="544"/>
        <w:jc w:val="center"/>
        <w:rPr>
          <w:rFonts w:hint="eastAsia" w:ascii="楷体_GB2312" w:hAnsi="宋体" w:eastAsia="楷体_GB2312" w:cs="宋体"/>
          <w:b/>
          <w:kern w:val="0"/>
          <w:sz w:val="32"/>
          <w:szCs w:val="32"/>
          <w:lang w:val="zh-CN"/>
        </w:rPr>
      </w:pPr>
    </w:p>
    <w:p>
      <w:pPr>
        <w:widowControl/>
        <w:adjustRightInd w:val="0"/>
        <w:spacing w:line="420" w:lineRule="exact"/>
        <w:jc w:val="center"/>
        <w:rPr>
          <w:rFonts w:hint="eastAsia" w:ascii="仿宋_GB2312" w:hAnsi="宋体" w:eastAsia="仿宋_GB2312" w:cs="宋体"/>
          <w:b/>
          <w:kern w:val="0"/>
          <w:sz w:val="32"/>
          <w:szCs w:val="32"/>
        </w:rPr>
      </w:pPr>
      <w:r>
        <w:rPr>
          <w:rFonts w:hint="eastAsia" w:ascii="仿宋_GB2312" w:hAnsi="宋体" w:eastAsia="仿宋_GB2312" w:cs="宋体"/>
          <w:b/>
          <w:kern w:val="0"/>
          <w:sz w:val="32"/>
          <w:szCs w:val="32"/>
          <w:lang w:val="zh-CN"/>
        </w:rPr>
        <w:t>第一章  总则</w:t>
      </w:r>
    </w:p>
    <w:p>
      <w:pPr>
        <w:widowControl/>
        <w:adjustRightInd w:val="0"/>
        <w:spacing w:line="42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zh-CN"/>
        </w:rPr>
        <w:t>第一条  为规范我院财务行为，加强财务管理和监督，提高资金使用效益，促进学院教育事业健康发展，根据《会计法》和财政部、教育部颁布的《高等学校财务制度》（财教[2012]488号）以及国家有关法规，结合我院实际情况，制定本办法。</w:t>
      </w:r>
      <w:r>
        <w:rPr>
          <w:rFonts w:hint="eastAsia" w:ascii="仿宋_GB2312" w:hAnsi="宋体" w:eastAsia="仿宋_GB2312" w:cs="宋体"/>
          <w:kern w:val="0"/>
          <w:sz w:val="32"/>
          <w:szCs w:val="32"/>
        </w:rPr>
        <w:t xml:space="preserve"> </w:t>
      </w:r>
    </w:p>
    <w:p>
      <w:pPr>
        <w:widowControl/>
        <w:numPr>
          <w:ilvl w:val="0"/>
          <w:numId w:val="1"/>
        </w:numPr>
        <w:adjustRightInd w:val="0"/>
        <w:spacing w:line="420" w:lineRule="exact"/>
        <w:ind w:left="0" w:firstLine="640" w:firstLineChars="200"/>
        <w:jc w:val="left"/>
        <w:rPr>
          <w:rFonts w:hint="eastAsia"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 xml:space="preserve"> 学院财务管理的基本原则是:贯彻执行国家有关法律、法规和财务规章制度，坚持勤俭办学的方针;正确处理事业发展需要和资金供给的关系，社会效益和经济效益的关系，国家、集体和个人三者利益的关系。</w:t>
      </w:r>
    </w:p>
    <w:p>
      <w:pPr>
        <w:widowControl/>
        <w:adjustRightInd w:val="0"/>
        <w:spacing w:line="42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zh-CN"/>
        </w:rPr>
        <w:t>第三条  学院财务管理的主要任务是:合理编制预算，强化预算管理;科学配置学院资源，努力节约支出，提高资金使用效益;防范金融风险;加强资产管理，防止国有资产流失;建立健全财务规章制度，规范院内经济秩序;如实反映学院财务状况;对学院经济活动的合法性、合理性进行监督。</w:t>
      </w:r>
      <w:r>
        <w:rPr>
          <w:rFonts w:hint="eastAsia" w:ascii="仿宋_GB2312" w:hAnsi="宋体" w:eastAsia="仿宋_GB2312" w:cs="宋体"/>
          <w:kern w:val="0"/>
          <w:sz w:val="32"/>
          <w:szCs w:val="32"/>
        </w:rPr>
        <w:t xml:space="preserve"> </w:t>
      </w:r>
    </w:p>
    <w:p>
      <w:pPr>
        <w:widowControl/>
        <w:adjustRightInd w:val="0"/>
        <w:spacing w:line="420" w:lineRule="exact"/>
        <w:jc w:val="center"/>
        <w:rPr>
          <w:rFonts w:hint="eastAsia" w:ascii="仿宋_GB2312" w:hAnsi="宋体" w:eastAsia="仿宋_GB2312" w:cs="宋体"/>
          <w:b/>
          <w:kern w:val="0"/>
          <w:sz w:val="32"/>
          <w:szCs w:val="32"/>
        </w:rPr>
      </w:pPr>
      <w:r>
        <w:rPr>
          <w:rFonts w:hint="eastAsia" w:ascii="仿宋_GB2312" w:hAnsi="宋体" w:eastAsia="仿宋_GB2312" w:cs="宋体"/>
          <w:b/>
          <w:kern w:val="0"/>
          <w:sz w:val="32"/>
          <w:szCs w:val="32"/>
          <w:lang w:val="zh-CN"/>
        </w:rPr>
        <w:t>第二章  财务管理体制</w:t>
      </w:r>
    </w:p>
    <w:p>
      <w:pPr>
        <w:widowControl/>
        <w:adjustRightInd w:val="0"/>
        <w:spacing w:line="42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zh-CN"/>
        </w:rPr>
        <w:t>第四条  学院实行“统一领导、集中管理”的财务管理体制。《统一领导》是指由学院统一财经方针政策，统一财务收支计划，统一财务规章制度，统一资源调配，统一财会业务领导;“集中管理”是指学院的财经工作和财务活动由学院集中统一管理，包括财权的集中管理权，财务规章制度制定和执行的集中管理权，会计事务的集中管理权。</w:t>
      </w:r>
      <w:r>
        <w:rPr>
          <w:rFonts w:hint="eastAsia" w:ascii="仿宋_GB2312" w:hAnsi="宋体" w:eastAsia="仿宋_GB2312" w:cs="宋体"/>
          <w:kern w:val="0"/>
          <w:sz w:val="32"/>
          <w:szCs w:val="32"/>
        </w:rPr>
        <w:t xml:space="preserve"> </w:t>
      </w:r>
    </w:p>
    <w:p>
      <w:pPr>
        <w:widowControl/>
        <w:adjustRightInd w:val="0"/>
        <w:spacing w:line="420" w:lineRule="exact"/>
        <w:ind w:firstLine="640" w:firstLineChars="200"/>
        <w:jc w:val="left"/>
        <w:rPr>
          <w:rFonts w:hint="eastAsia" w:ascii="仿宋_GB2312" w:hAnsi="仿宋" w:eastAsia="仿宋_GB2312"/>
          <w:bCs/>
          <w:sz w:val="32"/>
          <w:szCs w:val="32"/>
        </w:rPr>
      </w:pPr>
      <w:r>
        <w:rPr>
          <w:rFonts w:hint="eastAsia" w:ascii="仿宋_GB2312" w:hAnsi="宋体" w:eastAsia="仿宋_GB2312" w:cs="宋体"/>
          <w:kern w:val="0"/>
          <w:sz w:val="32"/>
          <w:szCs w:val="32"/>
          <w:lang w:val="zh-CN"/>
        </w:rPr>
        <w:t>第五条  学院财务工作实行董事会领导下的院长负责制，院长分管财务工作，学院财务发展规划制定、年度预算安排、重大建设项目安排等重大财经活动按照民主集中制的原则实行集体决策。</w:t>
      </w:r>
    </w:p>
    <w:p>
      <w:pPr>
        <w:widowControl/>
        <w:adjustRightInd w:val="0"/>
        <w:spacing w:line="42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zh-CN"/>
        </w:rPr>
        <w:t>第六条  财务部是学院的一级财会机构，是学院财务管理的职能部门。财务部在学院和上级财务主管部门的领导下，对全院的财务活动实行统一归口管理。</w:t>
      </w:r>
      <w:r>
        <w:rPr>
          <w:rFonts w:hint="eastAsia" w:ascii="仿宋_GB2312" w:hAnsi="宋体" w:eastAsia="仿宋_GB2312" w:cs="宋体"/>
          <w:kern w:val="0"/>
          <w:sz w:val="32"/>
          <w:szCs w:val="32"/>
        </w:rPr>
        <w:t xml:space="preserve"> </w:t>
      </w:r>
    </w:p>
    <w:p>
      <w:pPr>
        <w:widowControl/>
        <w:adjustRightInd w:val="0"/>
        <w:spacing w:line="420" w:lineRule="exact"/>
        <w:ind w:firstLine="640" w:firstLineChars="200"/>
        <w:jc w:val="left"/>
        <w:rPr>
          <w:rFonts w:hint="eastAsia"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第七条  学院按照国家和人民银行有关账户管理办法规定，管理和使用学院账户，银行账户由财务部统一管理。 学院任何部门不得开设银行账户，不得从事资金结算等经济事项。任何单位和个人不得以任何借口转移资金，私立“小金库”。</w:t>
      </w:r>
    </w:p>
    <w:p>
      <w:pPr>
        <w:widowControl/>
        <w:adjustRightInd w:val="0"/>
        <w:spacing w:line="420" w:lineRule="exact"/>
        <w:jc w:val="center"/>
        <w:rPr>
          <w:rFonts w:hint="eastAsia" w:ascii="仿宋_GB2312" w:hAnsi="宋体" w:eastAsia="仿宋_GB2312" w:cs="宋体"/>
          <w:b/>
          <w:kern w:val="0"/>
          <w:sz w:val="32"/>
          <w:szCs w:val="32"/>
        </w:rPr>
      </w:pPr>
      <w:r>
        <w:rPr>
          <w:rFonts w:hint="eastAsia" w:ascii="仿宋_GB2312" w:hAnsi="宋体" w:eastAsia="仿宋_GB2312" w:cs="宋体"/>
          <w:b/>
          <w:kern w:val="0"/>
          <w:sz w:val="32"/>
          <w:szCs w:val="32"/>
          <w:lang w:val="zh-CN"/>
        </w:rPr>
        <w:t>第三章  预算管理</w:t>
      </w:r>
    </w:p>
    <w:p>
      <w:pPr>
        <w:widowControl/>
        <w:adjustRightInd w:val="0"/>
        <w:spacing w:line="42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zh-CN"/>
        </w:rPr>
        <w:t>第八条  预算编制原则</w:t>
      </w:r>
      <w:r>
        <w:rPr>
          <w:rFonts w:hint="eastAsia" w:ascii="仿宋_GB2312" w:hAnsi="宋体" w:eastAsia="仿宋_GB2312" w:cs="宋体"/>
          <w:kern w:val="0"/>
          <w:sz w:val="32"/>
          <w:szCs w:val="32"/>
        </w:rPr>
        <w:t xml:space="preserve"> </w:t>
      </w:r>
    </w:p>
    <w:p>
      <w:pPr>
        <w:widowControl/>
        <w:adjustRightInd w:val="0"/>
        <w:spacing w:line="42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zh-CN"/>
        </w:rPr>
        <w:t>学院预算编制必须坚持“量入为出、收支平衡、突出重点、兼顾一般”的总原则，在确保人员经费和学院正常运转的前提下，合理安排事业发展支出。</w:t>
      </w:r>
      <w:r>
        <w:rPr>
          <w:rFonts w:hint="eastAsia" w:ascii="仿宋_GB2312" w:hAnsi="宋体" w:eastAsia="仿宋_GB2312" w:cs="宋体"/>
          <w:kern w:val="0"/>
          <w:sz w:val="32"/>
          <w:szCs w:val="32"/>
        </w:rPr>
        <w:t xml:space="preserve"> </w:t>
      </w:r>
    </w:p>
    <w:p>
      <w:pPr>
        <w:widowControl/>
        <w:adjustRightInd w:val="0"/>
        <w:spacing w:line="42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（一）各部门必须在每年11月底前向学院上报下年度经费需求计划。</w:t>
      </w:r>
    </w:p>
    <w:p>
      <w:pPr>
        <w:widowControl/>
        <w:adjustRightInd w:val="0"/>
        <w:spacing w:line="42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（二）财务部在分析和参考以前年度预算执行情况的基础上，根据预算年度事业计划、财力情况及年度收支增减因素，听取和征求有关方面的意见后提出建议意见。</w:t>
      </w:r>
    </w:p>
    <w:p>
      <w:pPr>
        <w:widowControl/>
        <w:adjustRightInd w:val="0"/>
        <w:spacing w:line="42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（三）学院预算逐步实行支出定额和因素法，实行零基预算的编制方法。</w:t>
      </w:r>
    </w:p>
    <w:p>
      <w:pPr>
        <w:widowControl/>
        <w:adjustRightInd w:val="0"/>
        <w:spacing w:line="42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第九条  预算的审批</w:t>
      </w:r>
    </w:p>
    <w:p>
      <w:pPr>
        <w:widowControl/>
        <w:adjustRightInd w:val="0"/>
        <w:spacing w:line="42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学院根据自筹资金编制综合财务预算草案，报院长办公会讨论审定，学院董事会批准。</w:t>
      </w:r>
    </w:p>
    <w:p>
      <w:pPr>
        <w:widowControl/>
        <w:adjustRightInd w:val="0"/>
        <w:spacing w:line="42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zh-CN"/>
        </w:rPr>
        <w:t xml:space="preserve">第十条  预算的执行 </w:t>
      </w:r>
    </w:p>
    <w:p>
      <w:pPr>
        <w:widowControl/>
        <w:adjustRightInd w:val="0"/>
        <w:spacing w:line="420" w:lineRule="exact"/>
        <w:ind w:firstLine="640" w:firstLineChars="200"/>
        <w:jc w:val="left"/>
        <w:rPr>
          <w:rFonts w:hint="eastAsia"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（一）严格预算约束，强化预算管理。年度预算一经审批，即成为学院法规性文件，全院各部门必须自觉维护预算的严肃性，杜绝超预算支出。</w:t>
      </w:r>
    </w:p>
    <w:p>
      <w:pPr>
        <w:widowControl/>
        <w:adjustRightInd w:val="0"/>
        <w:spacing w:line="42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zh-CN"/>
        </w:rPr>
        <w:t>（二）学院预算实行分级指标管理、定额使用、超支不补、自求平衡。</w:t>
      </w:r>
      <w:r>
        <w:rPr>
          <w:rFonts w:hint="eastAsia" w:ascii="仿宋_GB2312" w:hAnsi="宋体" w:eastAsia="仿宋_GB2312" w:cs="宋体"/>
          <w:kern w:val="0"/>
          <w:sz w:val="32"/>
          <w:szCs w:val="32"/>
        </w:rPr>
        <w:t xml:space="preserve"> </w:t>
      </w:r>
    </w:p>
    <w:p>
      <w:pPr>
        <w:widowControl/>
        <w:adjustRightInd w:val="0"/>
        <w:spacing w:line="42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zh-CN"/>
        </w:rPr>
        <w:t>（三）加强预算控制和分析。努力增收节支，合理配置资源，提高资金效益。为了加强预算控制和分析，财务部应定期提供预算执行报告。</w:t>
      </w:r>
      <w:r>
        <w:rPr>
          <w:rFonts w:hint="eastAsia" w:ascii="仿宋_GB2312" w:hAnsi="宋体" w:eastAsia="仿宋_GB2312" w:cs="宋体"/>
          <w:kern w:val="0"/>
          <w:sz w:val="32"/>
          <w:szCs w:val="32"/>
        </w:rPr>
        <w:t xml:space="preserve"> </w:t>
      </w:r>
    </w:p>
    <w:p>
      <w:pPr>
        <w:widowControl/>
        <w:adjustRightInd w:val="0"/>
        <w:spacing w:line="420" w:lineRule="exact"/>
        <w:jc w:val="center"/>
        <w:rPr>
          <w:rFonts w:hint="eastAsia" w:ascii="仿宋_GB2312" w:hAnsi="宋体" w:eastAsia="仿宋_GB2312" w:cs="宋体"/>
          <w:b/>
          <w:kern w:val="0"/>
          <w:sz w:val="32"/>
          <w:szCs w:val="32"/>
        </w:rPr>
      </w:pPr>
      <w:r>
        <w:rPr>
          <w:rFonts w:hint="eastAsia" w:ascii="仿宋_GB2312" w:hAnsi="宋体" w:eastAsia="仿宋_GB2312" w:cs="宋体"/>
          <w:b/>
          <w:kern w:val="0"/>
          <w:sz w:val="32"/>
          <w:szCs w:val="32"/>
          <w:lang w:val="zh-CN"/>
        </w:rPr>
        <w:t>第四章  收入管理</w:t>
      </w:r>
    </w:p>
    <w:p>
      <w:pPr>
        <w:widowControl/>
        <w:adjustRightInd w:val="0"/>
        <w:spacing w:line="42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zh-CN"/>
        </w:rPr>
        <w:t>第十一条  学院收入</w:t>
      </w:r>
    </w:p>
    <w:p>
      <w:pPr>
        <w:widowControl/>
        <w:adjustRightInd w:val="0"/>
        <w:spacing w:line="420" w:lineRule="exact"/>
        <w:ind w:firstLine="640" w:firstLineChars="200"/>
        <w:jc w:val="left"/>
        <w:rPr>
          <w:rFonts w:hint="eastAsia"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（一）</w:t>
      </w: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zh-CN"/>
        </w:rPr>
        <w:t xml:space="preserve">财政补助收入。即财政下拨学生国家奖学金、国家励志奖、国家助学金以及本科生应征入伍学费补偿等。 </w:t>
      </w:r>
    </w:p>
    <w:p>
      <w:pPr>
        <w:widowControl/>
        <w:adjustRightInd w:val="0"/>
        <w:spacing w:line="42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zh-CN"/>
        </w:rPr>
        <w:t>（二）事业收入。即学院开展教学、科研及其辅助活动之外取得的收入。包括本科生学费、住宿费、培训费等。</w:t>
      </w:r>
    </w:p>
    <w:p>
      <w:pPr>
        <w:widowControl/>
        <w:adjustRightInd w:val="0"/>
        <w:spacing w:line="42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zh-CN"/>
        </w:rPr>
        <w:t>三</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zh-CN"/>
        </w:rPr>
        <w:t>其他收入。包括利息收入、捐赠收入等。</w:t>
      </w:r>
      <w:r>
        <w:rPr>
          <w:rFonts w:hint="eastAsia" w:ascii="仿宋_GB2312" w:hAnsi="宋体" w:eastAsia="仿宋_GB2312" w:cs="宋体"/>
          <w:kern w:val="0"/>
          <w:sz w:val="32"/>
          <w:szCs w:val="32"/>
        </w:rPr>
        <w:t xml:space="preserve"> </w:t>
      </w:r>
    </w:p>
    <w:p>
      <w:pPr>
        <w:widowControl/>
        <w:adjustRightInd w:val="0"/>
        <w:spacing w:line="42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zh-CN"/>
        </w:rPr>
        <w:t>第十二条  学院必须严格按照国家有关政策依法组织收入，各项收费必须严格按照国家和省规定的收费范围和标准执行，并使用江西省财政厅统一印制或监制的行政事业性收费收据。预算外资金收入实现后，应按照国家和省里的有关规定上缴财政专户，实行“收支两条线”管理。捐赠收入必须按照捐赠者意愿合理使用。</w:t>
      </w:r>
    </w:p>
    <w:p>
      <w:pPr>
        <w:widowControl/>
        <w:adjustRightInd w:val="0"/>
        <w:spacing w:line="420" w:lineRule="exact"/>
        <w:jc w:val="center"/>
        <w:rPr>
          <w:rFonts w:hint="eastAsia" w:ascii="仿宋_GB2312" w:hAnsi="宋体" w:eastAsia="仿宋_GB2312" w:cs="宋体"/>
          <w:b/>
          <w:kern w:val="0"/>
          <w:sz w:val="32"/>
          <w:szCs w:val="32"/>
        </w:rPr>
      </w:pPr>
      <w:r>
        <w:rPr>
          <w:rFonts w:hint="eastAsia" w:ascii="仿宋_GB2312" w:hAnsi="宋体" w:eastAsia="仿宋_GB2312" w:cs="宋体"/>
          <w:b/>
          <w:kern w:val="0"/>
          <w:sz w:val="32"/>
          <w:szCs w:val="32"/>
          <w:lang w:val="zh-CN"/>
        </w:rPr>
        <w:t>第五章  支出管理</w:t>
      </w:r>
    </w:p>
    <w:p>
      <w:pPr>
        <w:widowControl/>
        <w:adjustRightInd w:val="0"/>
        <w:spacing w:line="42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zh-CN"/>
        </w:rPr>
        <w:t>第十三条  事业支出，即学院开展教学、科研及其辅助活动发生的支出。事业支出按性质划分为基本支出和项目支出。基本支出包括人员支出、公用支出、对个人和家庭的补助支出;项目支出包括行政事业性项目支出、事业发展项目支出。</w:t>
      </w:r>
    </w:p>
    <w:p>
      <w:pPr>
        <w:widowControl/>
        <w:adjustRightInd w:val="0"/>
        <w:spacing w:line="42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zh-CN"/>
        </w:rPr>
        <w:t>第十四条  学院在开展教学、科研和非独立核算经营活动中，应当正确归集实际发生的各项费用;不能直接归集的，应当按照规定的比例合理分摊。</w:t>
      </w:r>
      <w:r>
        <w:rPr>
          <w:rFonts w:hint="eastAsia" w:ascii="仿宋_GB2312" w:hAnsi="宋体" w:eastAsia="仿宋_GB2312" w:cs="宋体"/>
          <w:kern w:val="0"/>
          <w:sz w:val="32"/>
          <w:szCs w:val="32"/>
        </w:rPr>
        <w:t xml:space="preserve"> </w:t>
      </w:r>
    </w:p>
    <w:p>
      <w:pPr>
        <w:widowControl/>
        <w:adjustRightInd w:val="0"/>
        <w:spacing w:line="420" w:lineRule="exact"/>
        <w:ind w:firstLine="640" w:firstLineChars="200"/>
        <w:jc w:val="left"/>
        <w:rPr>
          <w:rFonts w:hint="eastAsia"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第十五条  学院的各项支出按实际发生数列支，不得虚列虚报，不得以计划数和预算数代替。</w:t>
      </w:r>
    </w:p>
    <w:p>
      <w:pPr>
        <w:widowControl/>
        <w:adjustRightInd w:val="0"/>
        <w:spacing w:line="420" w:lineRule="exact"/>
        <w:ind w:firstLine="640" w:firstLineChars="200"/>
        <w:jc w:val="left"/>
        <w:rPr>
          <w:rFonts w:hint="eastAsia"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第十六条  学院的各项支出严格执行国家和省有关财务规章制度规定的开支范围及标准;国家和省有关财务规章制度没有统一规定的，由学院结合本院情况确定，报主管部门和财政部门备案。</w:t>
      </w:r>
    </w:p>
    <w:p>
      <w:pPr>
        <w:widowControl/>
        <w:adjustRightInd w:val="0"/>
        <w:spacing w:line="420" w:lineRule="exact"/>
        <w:ind w:firstLine="640" w:firstLineChars="200"/>
        <w:jc w:val="left"/>
        <w:rPr>
          <w:rFonts w:hint="eastAsia"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第十七条  学院支出报销采用</w:t>
      </w:r>
      <w:r>
        <w:rPr>
          <w:rFonts w:hint="eastAsia" w:ascii="仿宋_GB2312" w:hAnsi="宋体" w:eastAsia="仿宋_GB2312" w:cs="宋体"/>
          <w:kern w:val="0"/>
          <w:sz w:val="32"/>
          <w:szCs w:val="32"/>
        </w:rPr>
        <w:t>审批制度，支出金额在3万元以下的由院长签字审批，支出在3-10万元以上由副董事长签字审批，支出金额在10-30万元以上的报董事长签字审批。</w:t>
      </w:r>
    </w:p>
    <w:p>
      <w:pPr>
        <w:widowControl/>
        <w:adjustRightInd w:val="0"/>
        <w:spacing w:line="420" w:lineRule="exact"/>
        <w:ind w:firstLine="640" w:firstLineChars="200"/>
        <w:jc w:val="left"/>
        <w:rPr>
          <w:rFonts w:hint="eastAsia" w:ascii="仿宋_GB2312" w:hAnsi="仿宋" w:eastAsia="仿宋_GB2312" w:cs="宋体"/>
          <w:kern w:val="0"/>
          <w:sz w:val="32"/>
          <w:szCs w:val="32"/>
        </w:rPr>
      </w:pPr>
      <w:r>
        <w:rPr>
          <w:rFonts w:hint="eastAsia" w:ascii="仿宋_GB2312" w:hAnsi="宋体" w:eastAsia="仿宋_GB2312" w:cs="宋体"/>
          <w:kern w:val="0"/>
          <w:sz w:val="32"/>
          <w:szCs w:val="32"/>
          <w:lang w:val="zh-CN"/>
        </w:rPr>
        <w:t xml:space="preserve">第十八条  </w:t>
      </w:r>
      <w:r>
        <w:rPr>
          <w:rFonts w:hint="eastAsia" w:ascii="仿宋_GB2312" w:hAnsi="仿宋" w:eastAsia="仿宋_GB2312" w:cs="宋体"/>
          <w:kern w:val="0"/>
          <w:sz w:val="32"/>
          <w:szCs w:val="32"/>
          <w:lang w:val="zh-CN"/>
        </w:rPr>
        <w:t>学院支出应当采取有效的内部控制制度，合理控制基本支出和项目支出，尤其是人员支出、公用支出、对个人和家庭补助支出结构；按照以教学科研为中心，体现“重点突出，效益优先”的原则，从紧安排学院行政、消费性支出，保证教学科研投入。</w:t>
      </w:r>
    </w:p>
    <w:p>
      <w:pPr>
        <w:widowControl/>
        <w:adjustRightInd w:val="0"/>
        <w:spacing w:line="420" w:lineRule="exact"/>
        <w:jc w:val="center"/>
        <w:rPr>
          <w:rFonts w:hint="eastAsia" w:ascii="仿宋_GB2312" w:hAnsi="宋体" w:eastAsia="仿宋_GB2312" w:cs="宋体"/>
          <w:b/>
          <w:kern w:val="0"/>
          <w:sz w:val="32"/>
          <w:szCs w:val="32"/>
        </w:rPr>
      </w:pPr>
      <w:r>
        <w:rPr>
          <w:rFonts w:hint="eastAsia" w:ascii="仿宋_GB2312" w:hAnsi="宋体" w:eastAsia="仿宋_GB2312" w:cs="宋体"/>
          <w:b/>
          <w:kern w:val="0"/>
          <w:sz w:val="32"/>
          <w:szCs w:val="32"/>
          <w:lang w:val="zh-CN"/>
        </w:rPr>
        <w:t>第六章  结转和结余管理</w:t>
      </w:r>
    </w:p>
    <w:p>
      <w:pPr>
        <w:widowControl/>
        <w:adjustRightInd w:val="0"/>
        <w:spacing w:line="420" w:lineRule="exact"/>
        <w:ind w:firstLine="640" w:firstLineChars="200"/>
        <w:jc w:val="left"/>
        <w:rPr>
          <w:rFonts w:hint="eastAsia"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第十九条  学院的结转和结余是指学院年度收入与支出相抵后的余额。</w:t>
      </w:r>
    </w:p>
    <w:p>
      <w:pPr>
        <w:widowControl/>
        <w:adjustRightInd w:val="0"/>
        <w:spacing w:line="420" w:lineRule="exact"/>
        <w:ind w:firstLine="640" w:firstLineChars="200"/>
        <w:jc w:val="left"/>
        <w:rPr>
          <w:rFonts w:hint="eastAsia"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结转资金是指当年预算已执行但未完成，或者因故未执行，下一年度需要按原用途继续使用的资金。</w:t>
      </w:r>
    </w:p>
    <w:p>
      <w:pPr>
        <w:widowControl/>
        <w:adjustRightInd w:val="0"/>
        <w:spacing w:line="42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zh-CN"/>
        </w:rPr>
        <w:t>结余资金是指当年预算工作目标已完成，或者因故终止，当年剩余。</w:t>
      </w:r>
      <w:r>
        <w:rPr>
          <w:rFonts w:hint="eastAsia" w:ascii="仿宋_GB2312" w:hAnsi="宋体" w:eastAsia="仿宋_GB2312" w:cs="宋体"/>
          <w:kern w:val="0"/>
          <w:sz w:val="32"/>
          <w:szCs w:val="32"/>
        </w:rPr>
        <w:t xml:space="preserve"> </w:t>
      </w:r>
    </w:p>
    <w:p>
      <w:pPr>
        <w:widowControl/>
        <w:adjustRightInd w:val="0"/>
        <w:spacing w:line="420" w:lineRule="exact"/>
        <w:jc w:val="center"/>
        <w:rPr>
          <w:rFonts w:hint="eastAsia" w:ascii="仿宋_GB2312" w:hAnsi="宋体" w:eastAsia="仿宋_GB2312" w:cs="宋体"/>
          <w:b/>
          <w:kern w:val="0"/>
          <w:sz w:val="32"/>
          <w:szCs w:val="32"/>
        </w:rPr>
      </w:pPr>
      <w:r>
        <w:rPr>
          <w:rFonts w:hint="eastAsia" w:ascii="仿宋_GB2312" w:hAnsi="宋体" w:eastAsia="仿宋_GB2312" w:cs="宋体"/>
          <w:b/>
          <w:kern w:val="0"/>
          <w:sz w:val="32"/>
          <w:szCs w:val="32"/>
          <w:lang w:val="zh-CN"/>
        </w:rPr>
        <w:t>第七章  专用基金管理</w:t>
      </w:r>
    </w:p>
    <w:p>
      <w:pPr>
        <w:widowControl/>
        <w:adjustRightInd w:val="0"/>
        <w:spacing w:line="42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zh-CN"/>
        </w:rPr>
        <w:t>第二十条  专用基金是指学院按规定提取和设置的有专门用途的资金。包括修购基金、职工福利基金、事业发展基金、学生奖贷基金、勤工助学基金等。 专用基金应按规定比例提取，并按专门用途使用。</w:t>
      </w:r>
      <w:r>
        <w:rPr>
          <w:rFonts w:hint="eastAsia" w:ascii="仿宋_GB2312" w:hAnsi="宋体" w:eastAsia="仿宋_GB2312" w:cs="宋体"/>
          <w:kern w:val="0"/>
          <w:sz w:val="32"/>
          <w:szCs w:val="32"/>
        </w:rPr>
        <w:t xml:space="preserve"> </w:t>
      </w:r>
    </w:p>
    <w:p>
      <w:pPr>
        <w:widowControl/>
        <w:adjustRightInd w:val="0"/>
        <w:spacing w:line="420" w:lineRule="exact"/>
        <w:jc w:val="center"/>
        <w:rPr>
          <w:rFonts w:hint="eastAsia" w:ascii="仿宋_GB2312" w:hAnsi="宋体" w:eastAsia="仿宋_GB2312" w:cs="宋体"/>
          <w:b/>
          <w:kern w:val="0"/>
          <w:sz w:val="32"/>
          <w:szCs w:val="32"/>
        </w:rPr>
      </w:pPr>
      <w:r>
        <w:rPr>
          <w:rFonts w:hint="eastAsia" w:ascii="仿宋_GB2312" w:hAnsi="宋体" w:eastAsia="仿宋_GB2312" w:cs="宋体"/>
          <w:b/>
          <w:kern w:val="0"/>
          <w:sz w:val="32"/>
          <w:szCs w:val="32"/>
          <w:lang w:val="zh-CN"/>
        </w:rPr>
        <w:t>第八章  资产管理</w:t>
      </w:r>
    </w:p>
    <w:p>
      <w:pPr>
        <w:widowControl/>
        <w:adjustRightInd w:val="0"/>
        <w:spacing w:line="42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zh-CN"/>
        </w:rPr>
        <w:t>第二十一条  学院资产包括流动资产、固定资产、无形资产等。</w:t>
      </w:r>
      <w:r>
        <w:rPr>
          <w:rFonts w:hint="eastAsia" w:ascii="仿宋_GB2312" w:hAnsi="宋体" w:eastAsia="仿宋_GB2312" w:cs="宋体"/>
          <w:kern w:val="0"/>
          <w:sz w:val="32"/>
          <w:szCs w:val="32"/>
        </w:rPr>
        <w:t xml:space="preserve"> </w:t>
      </w:r>
    </w:p>
    <w:p>
      <w:pPr>
        <w:widowControl/>
        <w:adjustRightInd w:val="0"/>
        <w:spacing w:line="420" w:lineRule="exact"/>
        <w:ind w:firstLine="640" w:firstLineChars="200"/>
        <w:jc w:val="left"/>
        <w:rPr>
          <w:rFonts w:hint="eastAsia"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第二十二条  流动资产包括现金、各种存款、应收及暂付款项、借出款、存货(含材料、燃料、消耗物资、低值易耗品、教材等)等。学院财务部及相关部门要建立、健全现金及各种存款的内部管理制度。对应收及暂付款项及时清理结算，不得长期挂账;对确实无法收回的应收及暂付款项，要查明原因，分清责任，按规定程序批准后核销。职能部门对存货应当建立和健全管理制度，建立明细台账和实物帐，进行定期或不定期的清查盘点，保证账实相符，存货的盘盈、盘亏应及时送财务处进行账务调整。</w:t>
      </w:r>
      <w:r>
        <w:rPr>
          <w:rFonts w:hint="eastAsia" w:ascii="仿宋_GB2312" w:hAnsi="宋体" w:eastAsia="仿宋_GB2312" w:cs="宋体"/>
          <w:kern w:val="0"/>
          <w:sz w:val="32"/>
          <w:szCs w:val="32"/>
        </w:rPr>
        <w:t xml:space="preserve"> </w:t>
      </w:r>
    </w:p>
    <w:p>
      <w:pPr>
        <w:widowControl/>
        <w:adjustRightInd w:val="0"/>
        <w:spacing w:line="42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zh-CN"/>
        </w:rPr>
        <w:t>第二十三条  学院固定资产包括房屋和建筑物、专用设备、一般设备、文物和陈列品、图书和其他固定资产。学院院长办公室负责统一管理学院的固定资产，制定固定资产管理办法，建立健全财产账并定期与财务部门核对。</w:t>
      </w:r>
      <w:r>
        <w:rPr>
          <w:rFonts w:hint="eastAsia" w:ascii="仿宋_GB2312" w:hAnsi="宋体" w:eastAsia="仿宋_GB2312" w:cs="宋体"/>
          <w:kern w:val="0"/>
          <w:sz w:val="32"/>
          <w:szCs w:val="32"/>
        </w:rPr>
        <w:t xml:space="preserve"> </w:t>
      </w:r>
    </w:p>
    <w:p>
      <w:pPr>
        <w:widowControl/>
        <w:adjustRightInd w:val="0"/>
        <w:spacing w:line="42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zh-CN"/>
        </w:rPr>
        <w:t>第二十四条  固定资产的报废和转让，由使用部门提出申请，部门负责人批准，报院长办公室、财务部、院长批准后核销，重大事项经学院院长办公会研究报董事会批准后核销。报废固定资产的处置统一由院长办公室按规定程序进行，变价收入上交学院财务部。任何部门或个人，在未经批准报废或转让前，不准随意处理。</w:t>
      </w:r>
      <w:r>
        <w:rPr>
          <w:rFonts w:hint="eastAsia" w:ascii="仿宋_GB2312" w:hAnsi="宋体" w:eastAsia="仿宋_GB2312" w:cs="宋体"/>
          <w:kern w:val="0"/>
          <w:sz w:val="32"/>
          <w:szCs w:val="32"/>
        </w:rPr>
        <w:t xml:space="preserve"> </w:t>
      </w:r>
    </w:p>
    <w:p>
      <w:pPr>
        <w:widowControl/>
        <w:adjustRightInd w:val="0"/>
        <w:spacing w:line="42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zh-CN"/>
        </w:rPr>
        <w:t>第二十五条  学院院长办公室应当定期或者不定期地组织对固定资产的清查盘点。年终前，应当进行全面清查盘点，做到账、卡、物相符。对固定资产的盘盈、盘亏应当按规定程序及时处理并报学院财务处作账务调整。</w:t>
      </w:r>
      <w:r>
        <w:rPr>
          <w:rFonts w:hint="eastAsia" w:ascii="仿宋_GB2312" w:hAnsi="宋体" w:eastAsia="仿宋_GB2312" w:cs="宋体"/>
          <w:kern w:val="0"/>
          <w:sz w:val="32"/>
          <w:szCs w:val="32"/>
        </w:rPr>
        <w:t xml:space="preserve"> </w:t>
      </w:r>
    </w:p>
    <w:p>
      <w:pPr>
        <w:widowControl/>
        <w:adjustRightInd w:val="0"/>
        <w:spacing w:line="42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zh-CN"/>
        </w:rPr>
        <w:t>第二十六条  固定资产的报废、固定资产和材料的盘盈盘亏，管理部门都应造册、说明理由或查明原因。大型、精密、贵重的仪器、设备报废和转让，应当经过有关部门鉴定，提出处理意见，报院长批准后，送财务部作为处理账务的依据。</w:t>
      </w:r>
      <w:r>
        <w:rPr>
          <w:rFonts w:hint="eastAsia" w:ascii="仿宋_GB2312" w:hAnsi="宋体" w:eastAsia="仿宋_GB2312" w:cs="宋体"/>
          <w:kern w:val="0"/>
          <w:sz w:val="32"/>
          <w:szCs w:val="32"/>
        </w:rPr>
        <w:t xml:space="preserve"> </w:t>
      </w:r>
    </w:p>
    <w:p>
      <w:pPr>
        <w:widowControl/>
        <w:adjustRightInd w:val="0"/>
        <w:spacing w:line="420" w:lineRule="exact"/>
        <w:ind w:firstLine="640" w:firstLineChars="200"/>
        <w:jc w:val="left"/>
        <w:rPr>
          <w:rFonts w:hint="eastAsia"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第二十七条  学院的无形资产包括专利权、商标权、著作权、土地使用权、非专利技术以及其他财产权利。学院转让无形资产，应当按照有关规定进行资产评估。</w:t>
      </w:r>
      <w:r>
        <w:rPr>
          <w:rFonts w:hint="eastAsia" w:ascii="仿宋_GB2312" w:hAnsi="宋体" w:eastAsia="仿宋_GB2312" w:cs="宋体"/>
          <w:kern w:val="0"/>
          <w:sz w:val="32"/>
          <w:szCs w:val="32"/>
        </w:rPr>
        <w:t xml:space="preserve"> </w:t>
      </w:r>
    </w:p>
    <w:p>
      <w:pPr>
        <w:widowControl/>
        <w:adjustRightInd w:val="0"/>
        <w:spacing w:line="420" w:lineRule="exact"/>
        <w:jc w:val="center"/>
        <w:rPr>
          <w:rFonts w:hint="eastAsia" w:ascii="仿宋_GB2312" w:hAnsi="宋体" w:eastAsia="仿宋_GB2312" w:cs="宋体"/>
          <w:b/>
          <w:kern w:val="0"/>
          <w:sz w:val="32"/>
          <w:szCs w:val="32"/>
        </w:rPr>
      </w:pPr>
      <w:r>
        <w:rPr>
          <w:rFonts w:hint="eastAsia" w:ascii="仿宋_GB2312" w:hAnsi="宋体" w:eastAsia="仿宋_GB2312" w:cs="宋体"/>
          <w:b/>
          <w:kern w:val="0"/>
          <w:sz w:val="32"/>
          <w:szCs w:val="32"/>
          <w:lang w:val="zh-CN"/>
        </w:rPr>
        <w:t>第九章   负债管理</w:t>
      </w:r>
    </w:p>
    <w:p>
      <w:pPr>
        <w:widowControl/>
        <w:adjustRightInd w:val="0"/>
        <w:spacing w:line="42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zh-CN"/>
        </w:rPr>
        <w:t>第二十八条  学院的负债包括借入款、应付及暂存款、应缴款项、代管款项等。财务部门对不同性质的负债应分别管理，及时清理并按照规定办理结算，保证各项负债在规定期限归还。</w:t>
      </w:r>
      <w:r>
        <w:rPr>
          <w:rFonts w:hint="eastAsia" w:ascii="仿宋_GB2312" w:hAnsi="宋体" w:eastAsia="仿宋_GB2312" w:cs="宋体"/>
          <w:kern w:val="0"/>
          <w:sz w:val="32"/>
          <w:szCs w:val="32"/>
        </w:rPr>
        <w:t xml:space="preserve"> </w:t>
      </w:r>
    </w:p>
    <w:p>
      <w:pPr>
        <w:widowControl/>
        <w:adjustRightInd w:val="0"/>
        <w:spacing w:line="42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学院的贷款资金限用于解决制约学院当前和未来事业发展的关键问题和有重大影响的项目。学院要根据财务状况确定合理的贷款规模。</w:t>
      </w:r>
    </w:p>
    <w:p>
      <w:pPr>
        <w:widowControl/>
        <w:adjustRightInd w:val="0"/>
        <w:spacing w:line="42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贷款资金学院无权用资产抵押。</w:t>
      </w:r>
    </w:p>
    <w:p>
      <w:pPr>
        <w:widowControl/>
        <w:adjustRightInd w:val="0"/>
        <w:spacing w:line="420" w:lineRule="exact"/>
        <w:jc w:val="center"/>
        <w:rPr>
          <w:rFonts w:hint="eastAsia" w:ascii="仿宋_GB2312" w:hAnsi="宋体" w:eastAsia="仿宋_GB2312" w:cs="宋体"/>
          <w:b/>
          <w:kern w:val="0"/>
          <w:sz w:val="32"/>
          <w:szCs w:val="32"/>
        </w:rPr>
      </w:pPr>
      <w:r>
        <w:rPr>
          <w:rFonts w:hint="eastAsia" w:ascii="仿宋_GB2312" w:hAnsi="宋体" w:eastAsia="仿宋_GB2312" w:cs="宋体"/>
          <w:b/>
          <w:kern w:val="0"/>
          <w:sz w:val="32"/>
          <w:szCs w:val="32"/>
          <w:lang w:val="zh-CN"/>
        </w:rPr>
        <w:t>第十章  财务报告和财务分析</w:t>
      </w:r>
    </w:p>
    <w:p>
      <w:pPr>
        <w:widowControl/>
        <w:adjustRightInd w:val="0"/>
        <w:spacing w:line="420" w:lineRule="exact"/>
        <w:ind w:firstLine="640" w:firstLineChars="200"/>
        <w:jc w:val="left"/>
        <w:rPr>
          <w:rFonts w:hint="eastAsia"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第二十九条  财务部门应当按照主管部门的规定和要求，根据学院财务管理的需要，定期编制财务分析报告。财务分析的内容包括学院事业发展和预算执行、资产使用管理、收入、支出和专用基金变动以及财务管理情况、存在主要问题和改进措施等。</w:t>
      </w:r>
      <w:r>
        <w:rPr>
          <w:rFonts w:hint="eastAsia" w:ascii="仿宋_GB2312" w:hAnsi="宋体" w:eastAsia="仿宋_GB2312" w:cs="宋体"/>
          <w:kern w:val="0"/>
          <w:sz w:val="32"/>
          <w:szCs w:val="32"/>
        </w:rPr>
        <w:t xml:space="preserve"> </w:t>
      </w:r>
    </w:p>
    <w:p>
      <w:pPr>
        <w:widowControl/>
        <w:adjustRightInd w:val="0"/>
        <w:spacing w:line="420" w:lineRule="exact"/>
        <w:jc w:val="center"/>
        <w:rPr>
          <w:rFonts w:hint="eastAsia" w:ascii="仿宋_GB2312" w:hAnsi="宋体" w:eastAsia="仿宋_GB2312" w:cs="宋体"/>
          <w:b/>
          <w:kern w:val="0"/>
          <w:sz w:val="32"/>
          <w:szCs w:val="32"/>
        </w:rPr>
      </w:pPr>
      <w:r>
        <w:rPr>
          <w:rFonts w:hint="eastAsia" w:ascii="仿宋_GB2312" w:hAnsi="宋体" w:eastAsia="仿宋_GB2312" w:cs="宋体"/>
          <w:b/>
          <w:kern w:val="0"/>
          <w:sz w:val="32"/>
          <w:szCs w:val="32"/>
          <w:lang w:val="zh-CN"/>
        </w:rPr>
        <w:t>第十一章  财务监督</w:t>
      </w:r>
    </w:p>
    <w:p>
      <w:pPr>
        <w:widowControl/>
        <w:adjustRightInd w:val="0"/>
        <w:spacing w:line="42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zh-CN"/>
        </w:rPr>
        <w:t>第三十条   学院必须接受国家有关部门的财务监督和审计，建立和健全各级经济责任制、内部监督制度、实行财务主管人员离任审计制度。</w:t>
      </w:r>
      <w:r>
        <w:rPr>
          <w:rFonts w:hint="eastAsia" w:ascii="仿宋_GB2312" w:hAnsi="宋体" w:eastAsia="仿宋_GB2312" w:cs="宋体"/>
          <w:kern w:val="0"/>
          <w:sz w:val="32"/>
          <w:szCs w:val="32"/>
        </w:rPr>
        <w:t xml:space="preserve"> </w:t>
      </w:r>
    </w:p>
    <w:p>
      <w:pPr>
        <w:widowControl/>
        <w:adjustRightInd w:val="0"/>
        <w:spacing w:line="42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zh-CN"/>
        </w:rPr>
        <w:t>第三十一条  学院的财务监督包括事前监督、事中监督和事后监督三种形式。学院可根据实际情况对不同的经济活动实行不同的监督方式。</w:t>
      </w:r>
      <w:r>
        <w:rPr>
          <w:rFonts w:hint="eastAsia" w:ascii="仿宋_GB2312" w:hAnsi="宋体" w:eastAsia="仿宋_GB2312" w:cs="宋体"/>
          <w:kern w:val="0"/>
          <w:sz w:val="32"/>
          <w:szCs w:val="32"/>
        </w:rPr>
        <w:t xml:space="preserve"> </w:t>
      </w:r>
    </w:p>
    <w:p>
      <w:pPr>
        <w:widowControl/>
        <w:adjustRightInd w:val="0"/>
        <w:spacing w:line="42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zh-CN"/>
        </w:rPr>
        <w:t>第三十二条  学院对各部门在经济往来中的回扣、折扣、手续费等进行收支两条线管理。对设备、教材、图书等大宗的采购，必须按规定实行政府采购或公开。严禁在账外暗中收受单位或个人给予的各种名义的回扣、手续费，确实无法谢绝而接受的回扣、手续费，必须全部上交学院财务部，纳入学院财务预算管理，不得私自截留、挪用或私分。否则，按国家有关财经纪律论处。</w:t>
      </w:r>
    </w:p>
    <w:p>
      <w:pPr>
        <w:widowControl/>
        <w:adjustRightInd w:val="0"/>
        <w:spacing w:line="42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zh-CN"/>
        </w:rPr>
        <w:t>第三十三条  财会人员按《会计法》及其他有关规定行使财务监督权。同时，财会人员必须自觉遵守有关财务规定，接受有关部门的监督。</w:t>
      </w:r>
      <w:r>
        <w:rPr>
          <w:rFonts w:hint="eastAsia" w:ascii="仿宋_GB2312" w:hAnsi="宋体" w:eastAsia="仿宋_GB2312" w:cs="宋体"/>
          <w:kern w:val="0"/>
          <w:sz w:val="32"/>
          <w:szCs w:val="32"/>
        </w:rPr>
        <w:t xml:space="preserve"> </w:t>
      </w:r>
    </w:p>
    <w:p>
      <w:pPr>
        <w:widowControl/>
        <w:adjustRightInd w:val="0"/>
        <w:spacing w:line="420" w:lineRule="exact"/>
        <w:jc w:val="center"/>
        <w:rPr>
          <w:rFonts w:hint="eastAsia" w:ascii="仿宋_GB2312" w:hAnsi="宋体" w:eastAsia="仿宋_GB2312" w:cs="宋体"/>
          <w:b/>
          <w:kern w:val="0"/>
          <w:sz w:val="32"/>
          <w:szCs w:val="32"/>
        </w:rPr>
      </w:pPr>
      <w:r>
        <w:rPr>
          <w:rFonts w:hint="eastAsia" w:ascii="仿宋_GB2312" w:hAnsi="宋体" w:eastAsia="仿宋_GB2312" w:cs="宋体"/>
          <w:b/>
          <w:kern w:val="0"/>
          <w:sz w:val="32"/>
          <w:szCs w:val="32"/>
          <w:lang w:val="zh-CN"/>
        </w:rPr>
        <w:t>第十二章   附则</w:t>
      </w:r>
    </w:p>
    <w:p>
      <w:pPr>
        <w:widowControl/>
        <w:adjustRightInd w:val="0"/>
        <w:spacing w:line="420" w:lineRule="exact"/>
        <w:ind w:firstLine="640" w:firstLineChars="200"/>
        <w:jc w:val="left"/>
        <w:rPr>
          <w:rFonts w:hint="eastAsia"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第三十四条  本办法未涉及的内容按高等学院财务制度执行。</w:t>
      </w:r>
    </w:p>
    <w:p>
      <w:pPr>
        <w:widowControl/>
        <w:adjustRightInd w:val="0"/>
        <w:spacing w:line="42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zh-CN"/>
        </w:rPr>
        <w:t>第三十五条  本办法由财务部负责解释。</w:t>
      </w:r>
      <w:r>
        <w:rPr>
          <w:rFonts w:hint="eastAsia" w:ascii="仿宋_GB2312" w:hAnsi="宋体" w:eastAsia="仿宋_GB2312" w:cs="宋体"/>
          <w:kern w:val="0"/>
          <w:sz w:val="32"/>
          <w:szCs w:val="32"/>
        </w:rPr>
        <w:t xml:space="preserve"> </w:t>
      </w:r>
    </w:p>
    <w:p>
      <w:pPr>
        <w:widowControl/>
        <w:adjustRightInd w:val="0"/>
        <w:spacing w:line="42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zh-CN"/>
        </w:rPr>
        <w:t>第三十六条  本办法自2014年10月1日起执行。凡与本办法不符的其它规定，按本办法执行。</w:t>
      </w:r>
      <w:r>
        <w:rPr>
          <w:rFonts w:hint="eastAsia" w:ascii="仿宋_GB2312" w:hAnsi="宋体" w:eastAsia="仿宋_GB2312" w:cs="宋体"/>
          <w:kern w:val="0"/>
          <w:sz w:val="32"/>
          <w:szCs w:val="32"/>
        </w:rPr>
        <w:t xml:space="preserve"> </w:t>
      </w:r>
    </w:p>
    <w:p>
      <w:pPr>
        <w:widowControl/>
        <w:adjustRightInd w:val="0"/>
        <w:spacing w:line="420" w:lineRule="exact"/>
        <w:ind w:firstLine="640" w:firstLineChars="200"/>
        <w:jc w:val="left"/>
        <w:rPr>
          <w:rFonts w:hint="eastAsia" w:ascii="仿宋_GB2312" w:hAnsi="宋体" w:eastAsia="仿宋_GB2312" w:cs="宋体"/>
          <w:kern w:val="0"/>
          <w:sz w:val="32"/>
          <w:szCs w:val="32"/>
        </w:rPr>
      </w:pPr>
    </w:p>
    <w:p>
      <w:pPr>
        <w:widowControl/>
        <w:adjustRightInd w:val="0"/>
        <w:spacing w:line="420" w:lineRule="exact"/>
        <w:ind w:firstLine="640" w:firstLineChars="200"/>
        <w:jc w:val="left"/>
        <w:rPr>
          <w:rFonts w:hint="eastAsia" w:ascii="仿宋_GB2312" w:hAnsi="宋体" w:eastAsia="仿宋_GB2312" w:cs="宋体"/>
          <w:kern w:val="0"/>
          <w:sz w:val="32"/>
          <w:szCs w:val="32"/>
        </w:rPr>
      </w:pPr>
    </w:p>
    <w:p>
      <w:pPr>
        <w:widowControl/>
        <w:adjustRightInd w:val="0"/>
        <w:spacing w:line="420" w:lineRule="exact"/>
        <w:ind w:firstLine="640" w:firstLineChars="200"/>
        <w:jc w:val="left"/>
        <w:rPr>
          <w:rFonts w:hint="eastAsia" w:ascii="仿宋_GB2312" w:hAnsi="宋体" w:eastAsia="仿宋_GB2312" w:cs="宋体"/>
          <w:kern w:val="0"/>
          <w:sz w:val="32"/>
          <w:szCs w:val="32"/>
          <w:lang w:val="zh-CN"/>
        </w:rPr>
      </w:pPr>
    </w:p>
    <w:p>
      <w:pPr>
        <w:spacing w:line="360" w:lineRule="exact"/>
        <w:rPr>
          <w:rFonts w:hint="eastAsia" w:ascii="宋体"/>
          <w:sz w:val="32"/>
          <w:szCs w:val="32"/>
          <w:u w:val="single"/>
        </w:rPr>
      </w:pPr>
      <w:r>
        <w:rPr>
          <w:rFonts w:hint="eastAsia" w:ascii="宋体"/>
          <w:sz w:val="32"/>
          <w:szCs w:val="32"/>
          <w:u w:val="single"/>
        </w:rPr>
        <w:t xml:space="preserve">                                                       </w:t>
      </w:r>
    </w:p>
    <w:p>
      <w:pPr>
        <w:tabs>
          <w:tab w:val="left" w:pos="180"/>
        </w:tabs>
        <w:spacing w:line="400" w:lineRule="exact"/>
        <w:rPr>
          <w:rFonts w:hint="eastAsia" w:ascii="仿宋_GB2312" w:eastAsia="仿宋_GB2312"/>
          <w:sz w:val="28"/>
          <w:szCs w:val="28"/>
        </w:rPr>
      </w:pPr>
      <w:r>
        <w:rPr>
          <w:rFonts w:hint="eastAsia" w:ascii="仿宋_GB2312" w:eastAsia="仿宋_GB2312"/>
          <w:sz w:val="32"/>
          <w:szCs w:val="32"/>
        </w:rPr>
        <w:t xml:space="preserve"> </w:t>
      </w:r>
      <w:r>
        <w:rPr>
          <w:rFonts w:hint="eastAsia" w:ascii="仿宋_GB2312" w:eastAsia="仿宋_GB2312"/>
          <w:sz w:val="28"/>
          <w:szCs w:val="28"/>
        </w:rPr>
        <w:t xml:space="preserve"> 抄报：江西财经大学  学院董事会</w:t>
      </w:r>
    </w:p>
    <w:p>
      <w:pPr>
        <w:tabs>
          <w:tab w:val="left" w:pos="180"/>
        </w:tabs>
        <w:spacing w:line="400" w:lineRule="exact"/>
        <w:rPr>
          <w:rFonts w:hint="eastAsia" w:ascii="仿宋_GB2312" w:eastAsia="仿宋_GB2312"/>
          <w:sz w:val="28"/>
          <w:szCs w:val="28"/>
          <w:u w:val="single"/>
        </w:rPr>
      </w:pPr>
      <w:r>
        <w:rPr>
          <w:rFonts w:hint="eastAsia" w:ascii="仿宋_GB2312" w:eastAsia="仿宋_GB2312"/>
          <w:snapToGrid w:val="0"/>
          <w:kern w:val="0"/>
          <w:sz w:val="28"/>
          <w:szCs w:val="28"/>
          <w:u w:val="single"/>
        </w:rPr>
        <w:t xml:space="preserve">  </w:t>
      </w:r>
      <w:r>
        <w:rPr>
          <w:rFonts w:hint="eastAsia" w:ascii="仿宋_GB2312" w:eastAsia="仿宋_GB2312"/>
          <w:sz w:val="28"/>
          <w:szCs w:val="28"/>
          <w:u w:val="single"/>
        </w:rPr>
        <w:t xml:space="preserve">抄送：院领导                                               </w:t>
      </w:r>
    </w:p>
    <w:p>
      <w:pPr>
        <w:spacing w:line="400" w:lineRule="exact"/>
        <w:rPr>
          <w:rFonts w:hint="eastAsia" w:ascii="仿宋_GB2312" w:eastAsia="仿宋_GB2312"/>
          <w:snapToGrid w:val="0"/>
          <w:spacing w:val="-8"/>
          <w:kern w:val="0"/>
          <w:sz w:val="28"/>
          <w:szCs w:val="28"/>
          <w:u w:val="single"/>
        </w:rPr>
      </w:pPr>
      <w:r>
        <w:rPr>
          <w:rFonts w:hint="eastAsia" w:ascii="仿宋_GB2312" w:eastAsia="仿宋_GB2312"/>
          <w:snapToGrid w:val="0"/>
          <w:spacing w:val="-8"/>
          <w:kern w:val="0"/>
          <w:sz w:val="28"/>
          <w:szCs w:val="28"/>
          <w:u w:val="single"/>
        </w:rPr>
        <w:t xml:space="preserve">  江西财经大学现代经济管理学院院长办公室   2014年10月20日印发   </w:t>
      </w:r>
    </w:p>
    <w:sectPr>
      <w:headerReference r:id="rId3" w:type="default"/>
      <w:footerReference r:id="rId4" w:type="default"/>
      <w:footerReference r:id="rId5" w:type="even"/>
      <w:pgSz w:w="11906" w:h="16838"/>
      <w:pgMar w:top="1440" w:right="1800" w:bottom="935"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6521" w:firstLineChars="1941"/>
      <w:rPr>
        <w:rFonts w:hint="eastAsia"/>
        <w:w w:val="120"/>
        <w:sz w:val="28"/>
        <w:szCs w:val="28"/>
      </w:rPr>
    </w:pPr>
    <w:r>
      <w:rPr>
        <w:rStyle w:val="14"/>
        <w:rFonts w:hint="eastAsia"/>
        <w:w w:val="120"/>
        <w:sz w:val="28"/>
        <w:szCs w:val="28"/>
      </w:rPr>
      <w:t xml:space="preserve">— </w:t>
    </w:r>
    <w:r>
      <w:rPr>
        <w:rStyle w:val="14"/>
        <w:w w:val="120"/>
        <w:sz w:val="28"/>
        <w:szCs w:val="28"/>
      </w:rPr>
      <w:fldChar w:fldCharType="begin"/>
    </w:r>
    <w:r>
      <w:rPr>
        <w:rStyle w:val="14"/>
        <w:w w:val="120"/>
        <w:sz w:val="28"/>
        <w:szCs w:val="28"/>
      </w:rPr>
      <w:instrText xml:space="preserve"> PAGE </w:instrText>
    </w:r>
    <w:r>
      <w:rPr>
        <w:rStyle w:val="14"/>
        <w:w w:val="120"/>
        <w:sz w:val="28"/>
        <w:szCs w:val="28"/>
      </w:rPr>
      <w:fldChar w:fldCharType="separate"/>
    </w:r>
    <w:r>
      <w:rPr>
        <w:rStyle w:val="14"/>
        <w:w w:val="120"/>
        <w:sz w:val="28"/>
        <w:szCs w:val="28"/>
      </w:rPr>
      <w:t>1</w:t>
    </w:r>
    <w:r>
      <w:rPr>
        <w:rStyle w:val="14"/>
        <w:w w:val="120"/>
        <w:sz w:val="28"/>
        <w:szCs w:val="28"/>
      </w:rPr>
      <w:fldChar w:fldCharType="end"/>
    </w:r>
    <w:r>
      <w:rPr>
        <w:rStyle w:val="14"/>
        <w:rFonts w:hint="eastAsia"/>
        <w:w w:val="120"/>
        <w:sz w:val="28"/>
        <w:szCs w:val="28"/>
      </w:rPr>
      <w:t xml:space="preserve"> —</w: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rPr>
        <w:rFonts w:hint="eastAsia"/>
        <w:w w:val="120"/>
        <w:sz w:val="28"/>
        <w:szCs w:val="28"/>
      </w:rPr>
    </w:pPr>
    <w:r>
      <w:rPr>
        <w:rStyle w:val="14"/>
        <w:rFonts w:hint="eastAsia"/>
        <w:w w:val="120"/>
        <w:sz w:val="28"/>
        <w:szCs w:val="28"/>
      </w:rPr>
      <w:t xml:space="preserve">— </w:t>
    </w:r>
    <w:r>
      <w:rPr>
        <w:rStyle w:val="14"/>
        <w:w w:val="120"/>
        <w:sz w:val="28"/>
        <w:szCs w:val="28"/>
      </w:rPr>
      <w:fldChar w:fldCharType="begin"/>
    </w:r>
    <w:r>
      <w:rPr>
        <w:rStyle w:val="14"/>
        <w:w w:val="120"/>
        <w:sz w:val="28"/>
        <w:szCs w:val="28"/>
      </w:rPr>
      <w:instrText xml:space="preserve"> PAGE </w:instrText>
    </w:r>
    <w:r>
      <w:rPr>
        <w:rStyle w:val="14"/>
        <w:w w:val="120"/>
        <w:sz w:val="28"/>
        <w:szCs w:val="28"/>
      </w:rPr>
      <w:fldChar w:fldCharType="separate"/>
    </w:r>
    <w:r>
      <w:rPr>
        <w:rStyle w:val="14"/>
        <w:w w:val="120"/>
        <w:sz w:val="28"/>
        <w:szCs w:val="28"/>
      </w:rPr>
      <w:t>2</w:t>
    </w:r>
    <w:r>
      <w:rPr>
        <w:rStyle w:val="14"/>
        <w:w w:val="120"/>
        <w:sz w:val="28"/>
        <w:szCs w:val="28"/>
      </w:rPr>
      <w:fldChar w:fldCharType="end"/>
    </w:r>
    <w:r>
      <w:rPr>
        <w:rStyle w:val="14"/>
        <w:rFonts w:hint="eastAsia"/>
        <w:w w:val="120"/>
        <w:sz w:val="28"/>
        <w:szCs w:val="28"/>
      </w:rPr>
      <w:t xml:space="preserve"> —</w:t>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57DF8"/>
    <w:multiLevelType w:val="multilevel"/>
    <w:tmpl w:val="49A57DF8"/>
    <w:lvl w:ilvl="0" w:tentative="0">
      <w:start w:val="2"/>
      <w:numFmt w:val="japaneseCounting"/>
      <w:lvlText w:val="第%1条"/>
      <w:lvlJc w:val="left"/>
      <w:pPr>
        <w:tabs>
          <w:tab w:val="left" w:pos="1160"/>
        </w:tabs>
        <w:ind w:left="1160" w:hanging="720"/>
      </w:pPr>
      <w:rPr>
        <w:rFonts w:hint="default"/>
      </w:rPr>
    </w:lvl>
    <w:lvl w:ilvl="1" w:tentative="0">
      <w:start w:val="1"/>
      <w:numFmt w:val="lowerLetter"/>
      <w:lvlText w:val="%2)"/>
      <w:lvlJc w:val="left"/>
      <w:pPr>
        <w:tabs>
          <w:tab w:val="left" w:pos="1280"/>
        </w:tabs>
        <w:ind w:left="1280" w:hanging="420"/>
      </w:pPr>
    </w:lvl>
    <w:lvl w:ilvl="2" w:tentative="0">
      <w:start w:val="1"/>
      <w:numFmt w:val="lowerRoman"/>
      <w:lvlText w:val="%3."/>
      <w:lvlJc w:val="right"/>
      <w:pPr>
        <w:tabs>
          <w:tab w:val="left" w:pos="1700"/>
        </w:tabs>
        <w:ind w:left="1700" w:hanging="420"/>
      </w:pPr>
    </w:lvl>
    <w:lvl w:ilvl="3" w:tentative="0">
      <w:start w:val="1"/>
      <w:numFmt w:val="decimal"/>
      <w:lvlText w:val="%4."/>
      <w:lvlJc w:val="left"/>
      <w:pPr>
        <w:tabs>
          <w:tab w:val="left" w:pos="2120"/>
        </w:tabs>
        <w:ind w:left="2120" w:hanging="420"/>
      </w:pPr>
    </w:lvl>
    <w:lvl w:ilvl="4" w:tentative="0">
      <w:start w:val="1"/>
      <w:numFmt w:val="lowerLetter"/>
      <w:lvlText w:val="%5)"/>
      <w:lvlJc w:val="left"/>
      <w:pPr>
        <w:tabs>
          <w:tab w:val="left" w:pos="2540"/>
        </w:tabs>
        <w:ind w:left="2540" w:hanging="420"/>
      </w:pPr>
    </w:lvl>
    <w:lvl w:ilvl="5" w:tentative="0">
      <w:start w:val="1"/>
      <w:numFmt w:val="lowerRoman"/>
      <w:lvlText w:val="%6."/>
      <w:lvlJc w:val="right"/>
      <w:pPr>
        <w:tabs>
          <w:tab w:val="left" w:pos="2960"/>
        </w:tabs>
        <w:ind w:left="2960" w:hanging="420"/>
      </w:pPr>
    </w:lvl>
    <w:lvl w:ilvl="6" w:tentative="0">
      <w:start w:val="1"/>
      <w:numFmt w:val="decimal"/>
      <w:lvlText w:val="%7."/>
      <w:lvlJc w:val="left"/>
      <w:pPr>
        <w:tabs>
          <w:tab w:val="left" w:pos="3380"/>
        </w:tabs>
        <w:ind w:left="3380" w:hanging="420"/>
      </w:pPr>
    </w:lvl>
    <w:lvl w:ilvl="7" w:tentative="0">
      <w:start w:val="1"/>
      <w:numFmt w:val="lowerLetter"/>
      <w:lvlText w:val="%8)"/>
      <w:lvlJc w:val="left"/>
      <w:pPr>
        <w:tabs>
          <w:tab w:val="left" w:pos="3800"/>
        </w:tabs>
        <w:ind w:left="3800" w:hanging="420"/>
      </w:pPr>
    </w:lvl>
    <w:lvl w:ilvl="8" w:tentative="0">
      <w:start w:val="1"/>
      <w:numFmt w:val="lowerRoman"/>
      <w:lvlText w:val="%9."/>
      <w:lvlJc w:val="right"/>
      <w:pPr>
        <w:tabs>
          <w:tab w:val="left" w:pos="4220"/>
        </w:tabs>
        <w:ind w:left="42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187"/>
    <w:rsid w:val="00010FD2"/>
    <w:rsid w:val="00011B2E"/>
    <w:rsid w:val="00016CDB"/>
    <w:rsid w:val="00023EAF"/>
    <w:rsid w:val="0003326C"/>
    <w:rsid w:val="00040A78"/>
    <w:rsid w:val="000434E4"/>
    <w:rsid w:val="0004724C"/>
    <w:rsid w:val="00047798"/>
    <w:rsid w:val="00051FB9"/>
    <w:rsid w:val="000527A1"/>
    <w:rsid w:val="000542C9"/>
    <w:rsid w:val="000576DB"/>
    <w:rsid w:val="00065270"/>
    <w:rsid w:val="00067561"/>
    <w:rsid w:val="0007280C"/>
    <w:rsid w:val="00073CC7"/>
    <w:rsid w:val="000855B6"/>
    <w:rsid w:val="000859C6"/>
    <w:rsid w:val="0009361F"/>
    <w:rsid w:val="00094017"/>
    <w:rsid w:val="000B2A72"/>
    <w:rsid w:val="000C45FD"/>
    <w:rsid w:val="000C4CFD"/>
    <w:rsid w:val="000D726A"/>
    <w:rsid w:val="000E2814"/>
    <w:rsid w:val="000E5FF5"/>
    <w:rsid w:val="000F415C"/>
    <w:rsid w:val="00100B39"/>
    <w:rsid w:val="00101761"/>
    <w:rsid w:val="00103C05"/>
    <w:rsid w:val="0010580D"/>
    <w:rsid w:val="0011311A"/>
    <w:rsid w:val="001159E4"/>
    <w:rsid w:val="00122560"/>
    <w:rsid w:val="00126D74"/>
    <w:rsid w:val="0013255A"/>
    <w:rsid w:val="001448EB"/>
    <w:rsid w:val="00145966"/>
    <w:rsid w:val="00161626"/>
    <w:rsid w:val="00166ED0"/>
    <w:rsid w:val="00167B7D"/>
    <w:rsid w:val="00171CBF"/>
    <w:rsid w:val="00183CC7"/>
    <w:rsid w:val="00184751"/>
    <w:rsid w:val="00185A6F"/>
    <w:rsid w:val="00192182"/>
    <w:rsid w:val="00196840"/>
    <w:rsid w:val="001B2D6A"/>
    <w:rsid w:val="001B749D"/>
    <w:rsid w:val="001C448A"/>
    <w:rsid w:val="001D143F"/>
    <w:rsid w:val="001D540D"/>
    <w:rsid w:val="001E2794"/>
    <w:rsid w:val="001F03AE"/>
    <w:rsid w:val="001F16EA"/>
    <w:rsid w:val="001F1FB1"/>
    <w:rsid w:val="002038E0"/>
    <w:rsid w:val="00217990"/>
    <w:rsid w:val="00221BB1"/>
    <w:rsid w:val="00221EBF"/>
    <w:rsid w:val="00226F1E"/>
    <w:rsid w:val="00227D6B"/>
    <w:rsid w:val="002317A9"/>
    <w:rsid w:val="00244700"/>
    <w:rsid w:val="002552AB"/>
    <w:rsid w:val="002608CA"/>
    <w:rsid w:val="00272263"/>
    <w:rsid w:val="00273A60"/>
    <w:rsid w:val="00280C45"/>
    <w:rsid w:val="00284ACE"/>
    <w:rsid w:val="00285D70"/>
    <w:rsid w:val="00291E05"/>
    <w:rsid w:val="0029529D"/>
    <w:rsid w:val="002960C8"/>
    <w:rsid w:val="002A5CF5"/>
    <w:rsid w:val="002B6E71"/>
    <w:rsid w:val="002C40DB"/>
    <w:rsid w:val="002C60F8"/>
    <w:rsid w:val="002C7379"/>
    <w:rsid w:val="002D2E4E"/>
    <w:rsid w:val="002D4333"/>
    <w:rsid w:val="002E4B4A"/>
    <w:rsid w:val="002F4032"/>
    <w:rsid w:val="002F41B2"/>
    <w:rsid w:val="002F611A"/>
    <w:rsid w:val="002F6400"/>
    <w:rsid w:val="00313933"/>
    <w:rsid w:val="00316C50"/>
    <w:rsid w:val="003318CB"/>
    <w:rsid w:val="00331A1E"/>
    <w:rsid w:val="0033560F"/>
    <w:rsid w:val="00340028"/>
    <w:rsid w:val="00345D7B"/>
    <w:rsid w:val="003501EC"/>
    <w:rsid w:val="00351A38"/>
    <w:rsid w:val="0035641F"/>
    <w:rsid w:val="003617D7"/>
    <w:rsid w:val="00363AA4"/>
    <w:rsid w:val="00363E68"/>
    <w:rsid w:val="00375932"/>
    <w:rsid w:val="00394DD2"/>
    <w:rsid w:val="003956BD"/>
    <w:rsid w:val="00396FF6"/>
    <w:rsid w:val="003A2B83"/>
    <w:rsid w:val="003D4A2B"/>
    <w:rsid w:val="003E1E33"/>
    <w:rsid w:val="003E3D0F"/>
    <w:rsid w:val="003E485C"/>
    <w:rsid w:val="003E5FB6"/>
    <w:rsid w:val="003E68AC"/>
    <w:rsid w:val="003F3DE1"/>
    <w:rsid w:val="003F4F7F"/>
    <w:rsid w:val="0040275E"/>
    <w:rsid w:val="0041143B"/>
    <w:rsid w:val="004125F0"/>
    <w:rsid w:val="00413118"/>
    <w:rsid w:val="00414885"/>
    <w:rsid w:val="0042512D"/>
    <w:rsid w:val="00427A53"/>
    <w:rsid w:val="00433805"/>
    <w:rsid w:val="00442E95"/>
    <w:rsid w:val="004461F6"/>
    <w:rsid w:val="00447E67"/>
    <w:rsid w:val="004500BF"/>
    <w:rsid w:val="00452897"/>
    <w:rsid w:val="00454988"/>
    <w:rsid w:val="00455894"/>
    <w:rsid w:val="00461428"/>
    <w:rsid w:val="004632D5"/>
    <w:rsid w:val="0047070D"/>
    <w:rsid w:val="00476988"/>
    <w:rsid w:val="00481F87"/>
    <w:rsid w:val="00495D2F"/>
    <w:rsid w:val="0049697C"/>
    <w:rsid w:val="004A5C16"/>
    <w:rsid w:val="004B0673"/>
    <w:rsid w:val="004B2EC5"/>
    <w:rsid w:val="004C597A"/>
    <w:rsid w:val="004C76E5"/>
    <w:rsid w:val="004D1CC3"/>
    <w:rsid w:val="004F3F6A"/>
    <w:rsid w:val="00500994"/>
    <w:rsid w:val="00501AB3"/>
    <w:rsid w:val="0051019A"/>
    <w:rsid w:val="00525526"/>
    <w:rsid w:val="00525703"/>
    <w:rsid w:val="00526F73"/>
    <w:rsid w:val="005326E5"/>
    <w:rsid w:val="005422A6"/>
    <w:rsid w:val="0054531F"/>
    <w:rsid w:val="0054684D"/>
    <w:rsid w:val="00550C5D"/>
    <w:rsid w:val="005576E2"/>
    <w:rsid w:val="00560D30"/>
    <w:rsid w:val="00564B08"/>
    <w:rsid w:val="00566E6B"/>
    <w:rsid w:val="0057662C"/>
    <w:rsid w:val="00586E30"/>
    <w:rsid w:val="0058708C"/>
    <w:rsid w:val="00591F0E"/>
    <w:rsid w:val="00594A9E"/>
    <w:rsid w:val="00597940"/>
    <w:rsid w:val="00597F2E"/>
    <w:rsid w:val="005A023E"/>
    <w:rsid w:val="005A0C61"/>
    <w:rsid w:val="005A10A5"/>
    <w:rsid w:val="005D1BDF"/>
    <w:rsid w:val="005D75AD"/>
    <w:rsid w:val="005E1A95"/>
    <w:rsid w:val="005F05FF"/>
    <w:rsid w:val="005F50DA"/>
    <w:rsid w:val="006050DD"/>
    <w:rsid w:val="00606921"/>
    <w:rsid w:val="006076A5"/>
    <w:rsid w:val="00612E0F"/>
    <w:rsid w:val="00622800"/>
    <w:rsid w:val="00623D1E"/>
    <w:rsid w:val="00634682"/>
    <w:rsid w:val="0063545F"/>
    <w:rsid w:val="0063751E"/>
    <w:rsid w:val="00641A98"/>
    <w:rsid w:val="00643E80"/>
    <w:rsid w:val="006630DB"/>
    <w:rsid w:val="00676CE1"/>
    <w:rsid w:val="006929A6"/>
    <w:rsid w:val="00695912"/>
    <w:rsid w:val="00697215"/>
    <w:rsid w:val="006A5384"/>
    <w:rsid w:val="006A66DB"/>
    <w:rsid w:val="006B300B"/>
    <w:rsid w:val="006C32EB"/>
    <w:rsid w:val="006C7A34"/>
    <w:rsid w:val="006D1F01"/>
    <w:rsid w:val="006D3A74"/>
    <w:rsid w:val="006D6300"/>
    <w:rsid w:val="006D63F0"/>
    <w:rsid w:val="006D6CEB"/>
    <w:rsid w:val="006D7206"/>
    <w:rsid w:val="006E2F5F"/>
    <w:rsid w:val="006E6715"/>
    <w:rsid w:val="006F1784"/>
    <w:rsid w:val="00700D4F"/>
    <w:rsid w:val="00703E7E"/>
    <w:rsid w:val="007065CB"/>
    <w:rsid w:val="00721589"/>
    <w:rsid w:val="00723612"/>
    <w:rsid w:val="00726316"/>
    <w:rsid w:val="00736036"/>
    <w:rsid w:val="00743E28"/>
    <w:rsid w:val="00761368"/>
    <w:rsid w:val="00763676"/>
    <w:rsid w:val="0076756F"/>
    <w:rsid w:val="0076784E"/>
    <w:rsid w:val="00775387"/>
    <w:rsid w:val="00775A49"/>
    <w:rsid w:val="0079516D"/>
    <w:rsid w:val="007967F3"/>
    <w:rsid w:val="007A1760"/>
    <w:rsid w:val="007A3ECA"/>
    <w:rsid w:val="007B0DC5"/>
    <w:rsid w:val="007B3913"/>
    <w:rsid w:val="007C09A4"/>
    <w:rsid w:val="007C6C70"/>
    <w:rsid w:val="007E3195"/>
    <w:rsid w:val="007E45C3"/>
    <w:rsid w:val="007F1893"/>
    <w:rsid w:val="007F3DA4"/>
    <w:rsid w:val="00807760"/>
    <w:rsid w:val="00821426"/>
    <w:rsid w:val="00834CD8"/>
    <w:rsid w:val="00841971"/>
    <w:rsid w:val="008477E6"/>
    <w:rsid w:val="008572BD"/>
    <w:rsid w:val="00860A99"/>
    <w:rsid w:val="00864CF4"/>
    <w:rsid w:val="00867540"/>
    <w:rsid w:val="00867BB9"/>
    <w:rsid w:val="00874A69"/>
    <w:rsid w:val="00874D0B"/>
    <w:rsid w:val="008758D3"/>
    <w:rsid w:val="00876ECD"/>
    <w:rsid w:val="00890C79"/>
    <w:rsid w:val="00894FC1"/>
    <w:rsid w:val="008955F7"/>
    <w:rsid w:val="008C08E0"/>
    <w:rsid w:val="008D2D1C"/>
    <w:rsid w:val="008E0F25"/>
    <w:rsid w:val="008E2A81"/>
    <w:rsid w:val="008F0523"/>
    <w:rsid w:val="00903493"/>
    <w:rsid w:val="00907C5C"/>
    <w:rsid w:val="009100EA"/>
    <w:rsid w:val="00920502"/>
    <w:rsid w:val="00924ED5"/>
    <w:rsid w:val="00924FE8"/>
    <w:rsid w:val="00942F75"/>
    <w:rsid w:val="009521A2"/>
    <w:rsid w:val="009555E7"/>
    <w:rsid w:val="00960379"/>
    <w:rsid w:val="00974946"/>
    <w:rsid w:val="009C07B2"/>
    <w:rsid w:val="009C1A3C"/>
    <w:rsid w:val="009D19BE"/>
    <w:rsid w:val="009F2C05"/>
    <w:rsid w:val="00A03630"/>
    <w:rsid w:val="00A12093"/>
    <w:rsid w:val="00A205C6"/>
    <w:rsid w:val="00A21DAC"/>
    <w:rsid w:val="00A27B70"/>
    <w:rsid w:val="00A3784D"/>
    <w:rsid w:val="00A464C7"/>
    <w:rsid w:val="00A52BDC"/>
    <w:rsid w:val="00A5420F"/>
    <w:rsid w:val="00A7464E"/>
    <w:rsid w:val="00A83769"/>
    <w:rsid w:val="00A85EB2"/>
    <w:rsid w:val="00A91989"/>
    <w:rsid w:val="00AA1B28"/>
    <w:rsid w:val="00AB4C49"/>
    <w:rsid w:val="00AC3122"/>
    <w:rsid w:val="00AC4BBE"/>
    <w:rsid w:val="00AD53AE"/>
    <w:rsid w:val="00AE1A08"/>
    <w:rsid w:val="00AE38A4"/>
    <w:rsid w:val="00AE50F8"/>
    <w:rsid w:val="00AE578D"/>
    <w:rsid w:val="00AF0188"/>
    <w:rsid w:val="00AF0D4E"/>
    <w:rsid w:val="00B02E0B"/>
    <w:rsid w:val="00B04064"/>
    <w:rsid w:val="00B07C22"/>
    <w:rsid w:val="00B164D2"/>
    <w:rsid w:val="00B16C77"/>
    <w:rsid w:val="00B248CC"/>
    <w:rsid w:val="00B268FB"/>
    <w:rsid w:val="00B33B27"/>
    <w:rsid w:val="00B349C9"/>
    <w:rsid w:val="00B37810"/>
    <w:rsid w:val="00B470D4"/>
    <w:rsid w:val="00B5274F"/>
    <w:rsid w:val="00B54826"/>
    <w:rsid w:val="00B64B35"/>
    <w:rsid w:val="00B65738"/>
    <w:rsid w:val="00B76457"/>
    <w:rsid w:val="00B81FAE"/>
    <w:rsid w:val="00B877F9"/>
    <w:rsid w:val="00B87A05"/>
    <w:rsid w:val="00B954F8"/>
    <w:rsid w:val="00B96914"/>
    <w:rsid w:val="00BA79A6"/>
    <w:rsid w:val="00BB0A07"/>
    <w:rsid w:val="00BB7085"/>
    <w:rsid w:val="00BC2B09"/>
    <w:rsid w:val="00BD4883"/>
    <w:rsid w:val="00BF03A3"/>
    <w:rsid w:val="00C00901"/>
    <w:rsid w:val="00C02D8D"/>
    <w:rsid w:val="00C10DC3"/>
    <w:rsid w:val="00C145B1"/>
    <w:rsid w:val="00C25367"/>
    <w:rsid w:val="00C3425A"/>
    <w:rsid w:val="00C34994"/>
    <w:rsid w:val="00C41E96"/>
    <w:rsid w:val="00C4287F"/>
    <w:rsid w:val="00C42DD3"/>
    <w:rsid w:val="00C50ABF"/>
    <w:rsid w:val="00C534B7"/>
    <w:rsid w:val="00C562A4"/>
    <w:rsid w:val="00C6057D"/>
    <w:rsid w:val="00C64935"/>
    <w:rsid w:val="00C669B0"/>
    <w:rsid w:val="00C67793"/>
    <w:rsid w:val="00C77B30"/>
    <w:rsid w:val="00C81B6F"/>
    <w:rsid w:val="00C830F1"/>
    <w:rsid w:val="00C922D0"/>
    <w:rsid w:val="00C95411"/>
    <w:rsid w:val="00CB6ECC"/>
    <w:rsid w:val="00CB70D1"/>
    <w:rsid w:val="00CC0242"/>
    <w:rsid w:val="00CC4ADF"/>
    <w:rsid w:val="00CC63A2"/>
    <w:rsid w:val="00CE37D5"/>
    <w:rsid w:val="00CE5821"/>
    <w:rsid w:val="00CE7068"/>
    <w:rsid w:val="00CE7914"/>
    <w:rsid w:val="00CF08DF"/>
    <w:rsid w:val="00CF3D57"/>
    <w:rsid w:val="00CF4619"/>
    <w:rsid w:val="00CF4665"/>
    <w:rsid w:val="00CF54AC"/>
    <w:rsid w:val="00CF65A9"/>
    <w:rsid w:val="00CF7AE1"/>
    <w:rsid w:val="00D03982"/>
    <w:rsid w:val="00D134D4"/>
    <w:rsid w:val="00D30E55"/>
    <w:rsid w:val="00D315DD"/>
    <w:rsid w:val="00D33973"/>
    <w:rsid w:val="00D460DD"/>
    <w:rsid w:val="00D53237"/>
    <w:rsid w:val="00D55367"/>
    <w:rsid w:val="00D57CD5"/>
    <w:rsid w:val="00D619CD"/>
    <w:rsid w:val="00D714EA"/>
    <w:rsid w:val="00D71661"/>
    <w:rsid w:val="00D779A3"/>
    <w:rsid w:val="00D83473"/>
    <w:rsid w:val="00D84C19"/>
    <w:rsid w:val="00D850B6"/>
    <w:rsid w:val="00D91F37"/>
    <w:rsid w:val="00D952E4"/>
    <w:rsid w:val="00DA4F4B"/>
    <w:rsid w:val="00DA6286"/>
    <w:rsid w:val="00DB29DD"/>
    <w:rsid w:val="00DB34B5"/>
    <w:rsid w:val="00DB62D6"/>
    <w:rsid w:val="00DB6547"/>
    <w:rsid w:val="00DB7919"/>
    <w:rsid w:val="00DC50C5"/>
    <w:rsid w:val="00DE02ED"/>
    <w:rsid w:val="00DE1264"/>
    <w:rsid w:val="00E054E9"/>
    <w:rsid w:val="00E140D5"/>
    <w:rsid w:val="00E14828"/>
    <w:rsid w:val="00E16F3B"/>
    <w:rsid w:val="00E17824"/>
    <w:rsid w:val="00E25C81"/>
    <w:rsid w:val="00E26A4D"/>
    <w:rsid w:val="00E27461"/>
    <w:rsid w:val="00E36430"/>
    <w:rsid w:val="00E468EC"/>
    <w:rsid w:val="00E60B18"/>
    <w:rsid w:val="00E60DC2"/>
    <w:rsid w:val="00E708E5"/>
    <w:rsid w:val="00E7448D"/>
    <w:rsid w:val="00E82192"/>
    <w:rsid w:val="00E84FD9"/>
    <w:rsid w:val="00E86CFD"/>
    <w:rsid w:val="00E8769F"/>
    <w:rsid w:val="00E87850"/>
    <w:rsid w:val="00E95BA7"/>
    <w:rsid w:val="00E96901"/>
    <w:rsid w:val="00EA0FFB"/>
    <w:rsid w:val="00EA42C9"/>
    <w:rsid w:val="00EB69F9"/>
    <w:rsid w:val="00EC5BD9"/>
    <w:rsid w:val="00EC6190"/>
    <w:rsid w:val="00ED54B7"/>
    <w:rsid w:val="00ED6663"/>
    <w:rsid w:val="00ED695D"/>
    <w:rsid w:val="00EE5661"/>
    <w:rsid w:val="00EF0CE2"/>
    <w:rsid w:val="00EF1104"/>
    <w:rsid w:val="00EF1875"/>
    <w:rsid w:val="00EF553A"/>
    <w:rsid w:val="00F00F44"/>
    <w:rsid w:val="00F02E42"/>
    <w:rsid w:val="00F04187"/>
    <w:rsid w:val="00F23460"/>
    <w:rsid w:val="00F23CAB"/>
    <w:rsid w:val="00F27719"/>
    <w:rsid w:val="00F42B6F"/>
    <w:rsid w:val="00F432B4"/>
    <w:rsid w:val="00F46867"/>
    <w:rsid w:val="00F53C24"/>
    <w:rsid w:val="00F541D3"/>
    <w:rsid w:val="00F57063"/>
    <w:rsid w:val="00F60067"/>
    <w:rsid w:val="00F606A9"/>
    <w:rsid w:val="00F622E0"/>
    <w:rsid w:val="00F63AD0"/>
    <w:rsid w:val="00F720A3"/>
    <w:rsid w:val="00F72DFC"/>
    <w:rsid w:val="00F7571D"/>
    <w:rsid w:val="00F821D4"/>
    <w:rsid w:val="00F845CB"/>
    <w:rsid w:val="00F85F61"/>
    <w:rsid w:val="00F90567"/>
    <w:rsid w:val="00F91C8A"/>
    <w:rsid w:val="00F972BD"/>
    <w:rsid w:val="00FA10A8"/>
    <w:rsid w:val="00FA496E"/>
    <w:rsid w:val="00FA4A19"/>
    <w:rsid w:val="00FB242B"/>
    <w:rsid w:val="00FB766D"/>
    <w:rsid w:val="00FD3C3D"/>
    <w:rsid w:val="00FF2340"/>
    <w:rsid w:val="00FF5BCB"/>
    <w:rsid w:val="62F40473"/>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1">
    <w:name w:val="Default Paragraph Font"/>
    <w:link w:val="12"/>
    <w:semiHidden/>
    <w:uiPriority w:val="0"/>
  </w:style>
  <w:style w:type="table" w:default="1" w:styleId="16">
    <w:name w:val="Normal Table"/>
    <w:semiHidden/>
    <w:uiPriority w:val="0"/>
    <w:tblPr>
      <w:tblLayout w:type="fixed"/>
      <w:tblCellMar>
        <w:top w:w="0" w:type="dxa"/>
        <w:left w:w="108" w:type="dxa"/>
        <w:bottom w:w="0" w:type="dxa"/>
        <w:right w:w="108" w:type="dxa"/>
      </w:tblCellMar>
    </w:tblPr>
  </w:style>
  <w:style w:type="paragraph" w:styleId="3">
    <w:name w:val="Salutation"/>
    <w:basedOn w:val="1"/>
    <w:next w:val="1"/>
    <w:uiPriority w:val="0"/>
    <w:rPr>
      <w:sz w:val="21"/>
    </w:rPr>
  </w:style>
  <w:style w:type="paragraph" w:styleId="4">
    <w:name w:val="Body Text Indent"/>
    <w:basedOn w:val="1"/>
    <w:uiPriority w:val="0"/>
    <w:pPr>
      <w:ind w:firstLine="540"/>
    </w:pPr>
    <w:rPr>
      <w:sz w:val="28"/>
    </w:rPr>
  </w:style>
  <w:style w:type="paragraph" w:styleId="5">
    <w:name w:val="Date"/>
    <w:basedOn w:val="1"/>
    <w:next w:val="1"/>
    <w:uiPriority w:val="0"/>
    <w:pPr>
      <w:ind w:left="100" w:leftChars="2500"/>
    </w:pPr>
    <w:rPr>
      <w:sz w:val="32"/>
    </w:rPr>
  </w:style>
  <w:style w:type="paragraph" w:styleId="6">
    <w:name w:val="Body Text Indent 2"/>
    <w:basedOn w:val="1"/>
    <w:uiPriority w:val="0"/>
    <w:pPr>
      <w:spacing w:after="120" w:line="480" w:lineRule="auto"/>
      <w:ind w:left="420" w:leftChars="200"/>
    </w:pPr>
  </w:style>
  <w:style w:type="paragraph" w:styleId="7">
    <w:name w:val="Balloon Text"/>
    <w:basedOn w:val="1"/>
    <w:semiHidden/>
    <w:uiPriority w:val="0"/>
    <w:rPr>
      <w:sz w:val="18"/>
      <w:szCs w:val="18"/>
    </w:rPr>
  </w:style>
  <w:style w:type="paragraph" w:styleId="8">
    <w:name w:val="footer"/>
    <w:basedOn w:val="1"/>
    <w:uiPriority w:val="0"/>
    <w:pPr>
      <w:tabs>
        <w:tab w:val="center" w:pos="4153"/>
        <w:tab w:val="right" w:pos="8306"/>
      </w:tabs>
      <w:snapToGrid w:val="0"/>
      <w:jc w:val="left"/>
    </w:pPr>
    <w:rPr>
      <w:sz w:val="18"/>
      <w:szCs w:val="18"/>
    </w:rPr>
  </w:style>
  <w:style w:type="paragraph" w:styleId="9">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uiPriority w:val="0"/>
    <w:pPr>
      <w:widowControl/>
      <w:spacing w:before="100" w:beforeAutospacing="1" w:after="100" w:afterAutospacing="1"/>
      <w:jc w:val="left"/>
    </w:pPr>
    <w:rPr>
      <w:rFonts w:ascii="宋体" w:hAnsi="宋体" w:cs="宋体"/>
      <w:kern w:val="0"/>
    </w:rPr>
  </w:style>
  <w:style w:type="paragraph" w:customStyle="1" w:styleId="12">
    <w:name w:val="Char Char Char Char"/>
    <w:basedOn w:val="1"/>
    <w:link w:val="11"/>
    <w:uiPriority w:val="0"/>
    <w:rPr>
      <w:sz w:val="21"/>
    </w:rPr>
  </w:style>
  <w:style w:type="character" w:styleId="13">
    <w:name w:val="Strong"/>
    <w:basedOn w:val="11"/>
    <w:qFormat/>
    <w:uiPriority w:val="0"/>
    <w:rPr>
      <w:b/>
      <w:bCs/>
    </w:rPr>
  </w:style>
  <w:style w:type="character" w:styleId="14">
    <w:name w:val="page number"/>
    <w:basedOn w:val="11"/>
    <w:uiPriority w:val="0"/>
  </w:style>
  <w:style w:type="character" w:styleId="15">
    <w:name w:val="Hyperlink"/>
    <w:basedOn w:val="11"/>
    <w:uiPriority w:val="0"/>
    <w:rPr>
      <w:rFonts w:cs="Times New Roman"/>
      <w:color w:val="2A2A2A"/>
      <w:sz w:val="18"/>
      <w:szCs w:val="18"/>
      <w:u w:val="none"/>
    </w:rPr>
  </w:style>
  <w:style w:type="table" w:styleId="17">
    <w:name w:val="Table Grid"/>
    <w:basedOn w:val="1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8">
    <w:name w:val=" Char Char Char Char"/>
    <w:basedOn w:val="1"/>
    <w:uiPriority w:val="0"/>
    <w:rPr>
      <w:sz w:val="21"/>
    </w:rPr>
  </w:style>
  <w:style w:type="paragraph" w:customStyle="1" w:styleId="19">
    <w:name w:val="reader-word-layer"/>
    <w:basedOn w:val="1"/>
    <w:uiPriority w:val="0"/>
    <w:pPr>
      <w:widowControl/>
      <w:spacing w:before="100" w:beforeAutospacing="1" w:after="100" w:afterAutospacing="1"/>
      <w:jc w:val="left"/>
    </w:pPr>
    <w:rPr>
      <w:rFonts w:ascii="宋体" w:hAnsi="宋体" w:cs="宋体"/>
      <w:kern w:val="0"/>
    </w:rPr>
  </w:style>
  <w:style w:type="paragraph" w:customStyle="1" w:styleId="20">
    <w:name w:val="p0"/>
    <w:basedOn w:val="1"/>
    <w:uiPriority w:val="0"/>
    <w:pPr>
      <w:widowControl/>
    </w:pPr>
    <w:rPr>
      <w:kern w:val="0"/>
      <w:sz w:val="21"/>
      <w:szCs w:val="21"/>
    </w:rPr>
  </w:style>
  <w:style w:type="paragraph" w:customStyle="1" w:styleId="21">
    <w:name w:val="考试样式"/>
    <w:basedOn w:val="1"/>
    <w:uiPriority w:val="0"/>
    <w:pPr>
      <w:ind w:left="168" w:leftChars="80" w:right="168" w:rightChars="80" w:firstLine="440" w:firstLineChars="200"/>
    </w:pPr>
    <w:rPr>
      <w:rFonts w:ascii="宋体" w:hAnsi="宋体"/>
      <w:sz w:val="22"/>
      <w:szCs w:val="22"/>
    </w:rPr>
  </w:style>
  <w:style w:type="character" w:customStyle="1" w:styleId="22">
    <w:name w:val="ca-4"/>
    <w:basedOn w:val="11"/>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现代经济管理学院</Company>
  <Pages>7</Pages>
  <Words>627</Words>
  <Characters>3574</Characters>
  <Lines>29</Lines>
  <Paragraphs>8</Paragraphs>
  <TotalTime>0</TotalTime>
  <ScaleCrop>false</ScaleCrop>
  <LinksUpToDate>false</LinksUpToDate>
  <CharactersWithSpaces>4193</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2016-06-27T08:39:00Z</dcterms:created>
  <dc:creator>现代经济管理学院办公室</dc:creator>
  <cp:lastModifiedBy>Administrator</cp:lastModifiedBy>
  <cp:lastPrinted>2014-10-22T03:57:00Z</cp:lastPrinted>
  <dcterms:modified xsi:type="dcterms:W3CDTF">2017-10-28T10:42:10Z</dcterms:modified>
  <dc:title>院教字[2005] 19号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